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2DF7" w:rsidRPr="00B32DF7" w:rsidRDefault="00B32DF7" w:rsidP="00B32DF7">
      <w:pPr>
        <w:pStyle w:val="Ttulo1"/>
        <w:rPr>
          <w:rFonts w:ascii="Arial" w:hAnsi="Arial" w:cs="Arial"/>
          <w:color w:val="auto"/>
          <w:sz w:val="22"/>
          <w:szCs w:val="22"/>
        </w:rPr>
      </w:pPr>
      <w:bookmarkStart w:id="0" w:name="_Toc386457521"/>
      <w:r w:rsidRPr="00B32DF7">
        <w:rPr>
          <w:rFonts w:ascii="Arial" w:hAnsi="Arial" w:cs="Arial"/>
          <w:color w:val="auto"/>
          <w:sz w:val="22"/>
          <w:szCs w:val="22"/>
        </w:rPr>
        <w:t>EP 254 (31</w:t>
      </w:r>
      <w:proofErr w:type="gramStart"/>
      <w:r w:rsidRPr="00B32DF7">
        <w:rPr>
          <w:rFonts w:ascii="Arial" w:hAnsi="Arial" w:cs="Arial"/>
          <w:color w:val="auto"/>
          <w:sz w:val="22"/>
          <w:szCs w:val="22"/>
        </w:rPr>
        <w:t>)</w:t>
      </w:r>
      <w:r w:rsidR="00C81F0E">
        <w:rPr>
          <w:rFonts w:ascii="Arial" w:hAnsi="Arial" w:cs="Arial"/>
          <w:color w:val="auto"/>
          <w:sz w:val="22"/>
          <w:szCs w:val="22"/>
        </w:rPr>
        <w:t>RV01</w:t>
      </w:r>
      <w:proofErr w:type="gramEnd"/>
      <w:r w:rsidRPr="00B32DF7">
        <w:rPr>
          <w:rFonts w:ascii="Arial" w:hAnsi="Arial" w:cs="Arial"/>
          <w:color w:val="auto"/>
          <w:sz w:val="22"/>
          <w:szCs w:val="22"/>
        </w:rPr>
        <w:t xml:space="preserve"> SISTEMA DE PUESTA A TIERRA DE ESTRUCTURAS DE EDIFICIOS</w:t>
      </w:r>
      <w:bookmarkEnd w:id="0"/>
    </w:p>
    <w:p w:rsidR="00B32DF7" w:rsidRPr="00B32DF7" w:rsidRDefault="00B32DF7" w:rsidP="00B32DF7"/>
    <w:p w:rsidR="00B32DF7" w:rsidRPr="00B32DF7" w:rsidRDefault="00B32DF7" w:rsidP="00B32DF7"/>
    <w:p w:rsidR="00B32DF7" w:rsidRPr="00B32DF7" w:rsidRDefault="00B32DF7" w:rsidP="00B32DF7">
      <w:pPr>
        <w:pStyle w:val="Ttulo2"/>
        <w:keepNext w:val="0"/>
        <w:keepLines w:val="0"/>
        <w:tabs>
          <w:tab w:val="center" w:pos="4252"/>
          <w:tab w:val="right" w:pos="8504"/>
        </w:tabs>
        <w:spacing w:before="120" w:after="120" w:line="276" w:lineRule="auto"/>
        <w:contextualSpacing/>
        <w:rPr>
          <w:rFonts w:ascii="Arial" w:hAnsi="Arial" w:cs="Arial"/>
          <w:color w:val="auto"/>
          <w:sz w:val="22"/>
          <w:szCs w:val="22"/>
        </w:rPr>
      </w:pPr>
      <w:bookmarkStart w:id="1" w:name="_Toc385315822"/>
      <w:bookmarkStart w:id="2" w:name="_Toc386457522"/>
      <w:r w:rsidRPr="00B32DF7">
        <w:rPr>
          <w:rFonts w:ascii="Arial" w:hAnsi="Arial" w:cs="Arial"/>
          <w:color w:val="auto"/>
          <w:sz w:val="22"/>
          <w:szCs w:val="22"/>
        </w:rPr>
        <w:t>CARACTERÍSTICAS TÉCNICAS</w:t>
      </w:r>
      <w:bookmarkEnd w:id="1"/>
      <w:bookmarkEnd w:id="2"/>
    </w:p>
    <w:p w:rsidR="00B32DF7" w:rsidRPr="00B32DF7" w:rsidRDefault="00B32DF7" w:rsidP="00B32DF7"/>
    <w:p w:rsidR="00047FCD" w:rsidRDefault="00CB18D5" w:rsidP="00B32DF7">
      <w:pPr>
        <w:tabs>
          <w:tab w:val="left" w:pos="426"/>
          <w:tab w:val="left" w:pos="709"/>
        </w:tabs>
        <w:jc w:val="both"/>
        <w:rPr>
          <w:rFonts w:ascii="Arial" w:hAnsi="Arial" w:cs="Arial"/>
          <w:lang w:val="es-ES"/>
        </w:rPr>
      </w:pPr>
      <w:bookmarkStart w:id="3" w:name="_GoBack"/>
      <w:bookmarkEnd w:id="3"/>
      <w:r w:rsidRPr="00CB18D5">
        <w:rPr>
          <w:rFonts w:ascii="Arial" w:hAnsi="Arial" w:cs="Arial"/>
          <w:lang w:val="es-ES"/>
        </w:rPr>
        <w:t xml:space="preserve">Suministro e instalación de la red de puesta a tierra general de la estación, formada por conductores desnudos de cobre suave electrolítico de calibres 4/0 AWG, formando retículas de 7.70x6.00 </w:t>
      </w:r>
      <w:proofErr w:type="spellStart"/>
      <w:r w:rsidRPr="00CB18D5">
        <w:rPr>
          <w:rFonts w:ascii="Arial" w:hAnsi="Arial" w:cs="Arial"/>
          <w:lang w:val="es-ES"/>
        </w:rPr>
        <w:t>mts</w:t>
      </w:r>
      <w:proofErr w:type="spellEnd"/>
      <w:r w:rsidRPr="00CB18D5">
        <w:rPr>
          <w:rFonts w:ascii="Arial" w:hAnsi="Arial" w:cs="Arial"/>
          <w:lang w:val="es-ES"/>
        </w:rPr>
        <w:t xml:space="preserve">, a todo lo largo de la huella del edificio, con conectores </w:t>
      </w:r>
      <w:proofErr w:type="spellStart"/>
      <w:r w:rsidRPr="00CB18D5">
        <w:rPr>
          <w:rFonts w:ascii="Arial" w:hAnsi="Arial" w:cs="Arial"/>
          <w:lang w:val="es-ES"/>
        </w:rPr>
        <w:t>soldables</w:t>
      </w:r>
      <w:proofErr w:type="spellEnd"/>
      <w:r w:rsidRPr="00CB18D5">
        <w:rPr>
          <w:rFonts w:ascii="Arial" w:hAnsi="Arial" w:cs="Arial"/>
          <w:lang w:val="es-ES"/>
        </w:rPr>
        <w:t xml:space="preserve"> exotérmicos adecuados para la conexión y según se indica en planos de proyecto ejecutivo, registros de puesta a tierra prefabricado de 0.4x0.4x0.40; el sistema cuenta con  electrodos de puesta a tierra a base de varilla de cobre electrolítico tipo </w:t>
      </w:r>
      <w:proofErr w:type="spellStart"/>
      <w:r w:rsidRPr="00CB18D5">
        <w:rPr>
          <w:rFonts w:ascii="Arial" w:hAnsi="Arial" w:cs="Arial"/>
          <w:lang w:val="es-ES"/>
        </w:rPr>
        <w:t>copperweld</w:t>
      </w:r>
      <w:proofErr w:type="spellEnd"/>
      <w:r w:rsidRPr="00CB18D5">
        <w:rPr>
          <w:rFonts w:ascii="Arial" w:hAnsi="Arial" w:cs="Arial"/>
          <w:lang w:val="es-ES"/>
        </w:rPr>
        <w:t xml:space="preserve"> de 3.05 </w:t>
      </w:r>
      <w:proofErr w:type="spellStart"/>
      <w:r w:rsidRPr="00CB18D5">
        <w:rPr>
          <w:rFonts w:ascii="Arial" w:hAnsi="Arial" w:cs="Arial"/>
          <w:lang w:val="es-ES"/>
        </w:rPr>
        <w:t>mts</w:t>
      </w:r>
      <w:proofErr w:type="spellEnd"/>
      <w:r w:rsidRPr="00CB18D5">
        <w:rPr>
          <w:rFonts w:ascii="Arial" w:hAnsi="Arial" w:cs="Arial"/>
          <w:lang w:val="es-ES"/>
        </w:rPr>
        <w:t xml:space="preserve"> de longitud y 16 mm de diámetro. El precio unitario incluye: excavación de zanja para alojar cable y registros necesarios, conectores </w:t>
      </w:r>
      <w:proofErr w:type="spellStart"/>
      <w:r w:rsidRPr="00CB18D5">
        <w:rPr>
          <w:rFonts w:ascii="Arial" w:hAnsi="Arial" w:cs="Arial"/>
          <w:lang w:val="es-ES"/>
        </w:rPr>
        <w:t>soldables</w:t>
      </w:r>
      <w:proofErr w:type="spellEnd"/>
      <w:r w:rsidRPr="00CB18D5">
        <w:rPr>
          <w:rFonts w:ascii="Arial" w:hAnsi="Arial" w:cs="Arial"/>
          <w:lang w:val="es-ES"/>
        </w:rPr>
        <w:t xml:space="preserve"> y mecánicos necesarios según se indica en planos, compuesto químico para mejoramiento de tierras GEM, puntas de cable para conexión a equipos tales como elevadores, escaleras de emergencia, escaleras eléctricas, elevadores, conectores exotérmicos tipo "TA", "GYE", conectores mecánicos tipo GAR para conexión de cable a varilla, conexiones equipotenciales, kit de bus de puesta a tierra alojado en gabinete de acrílico en cuartos de subestación con al menos 10 bornes de conexión, señalización, comunicaciones y aquellos que se indiquen en plano, dos barras de interconexión con sistema de tierras de línea y otros sistemas instalado en nivel andén, conexiones con malla estructural, mano de obra, equipo, herramientas, materiales, obra civil relacionada a su fabricación, moldes y cargas adecuadas para los conectores </w:t>
      </w:r>
      <w:proofErr w:type="spellStart"/>
      <w:r w:rsidRPr="00CB18D5">
        <w:rPr>
          <w:rFonts w:ascii="Arial" w:hAnsi="Arial" w:cs="Arial"/>
          <w:lang w:val="es-ES"/>
        </w:rPr>
        <w:t>soldables</w:t>
      </w:r>
      <w:proofErr w:type="spellEnd"/>
      <w:r w:rsidRPr="00CB18D5">
        <w:rPr>
          <w:rFonts w:ascii="Arial" w:hAnsi="Arial" w:cs="Arial"/>
          <w:lang w:val="es-ES"/>
        </w:rPr>
        <w:t>, materiales menores necesarios para la instalación en base a especificaciones técnicas, mano de obra, equipo, herramientas, almacenaje, cortes, retiros, pruebas, limpieza del área de trabajo y todo lo necesario para su correcta ejecución.</w:t>
      </w:r>
    </w:p>
    <w:p w:rsidR="00CB18D5" w:rsidRPr="00B32DF7" w:rsidRDefault="00CB18D5" w:rsidP="00B32DF7">
      <w:pPr>
        <w:tabs>
          <w:tab w:val="left" w:pos="426"/>
          <w:tab w:val="left" w:pos="709"/>
        </w:tabs>
        <w:jc w:val="both"/>
        <w:rPr>
          <w:rFonts w:ascii="Arial" w:hAnsi="Arial" w:cs="Arial"/>
          <w:lang w:val="es-ES"/>
        </w:rPr>
      </w:pPr>
    </w:p>
    <w:p w:rsidR="00B32DF7" w:rsidRPr="00B32DF7" w:rsidRDefault="00B32DF7" w:rsidP="00B32DF7">
      <w:pPr>
        <w:pStyle w:val="Prrafodelista"/>
        <w:tabs>
          <w:tab w:val="left" w:pos="426"/>
          <w:tab w:val="left" w:pos="709"/>
        </w:tabs>
        <w:jc w:val="both"/>
        <w:rPr>
          <w:rFonts w:ascii="Arial" w:hAnsi="Arial" w:cs="Arial"/>
          <w:lang w:val="es-ES"/>
        </w:rPr>
      </w:pPr>
      <w:r w:rsidRPr="00B32DF7">
        <w:rPr>
          <w:rFonts w:ascii="Arial" w:hAnsi="Arial" w:cs="Arial"/>
          <w:lang w:val="es-ES"/>
        </w:rPr>
        <w:t xml:space="preserve">Los materiales son los siguientes:  </w:t>
      </w:r>
    </w:p>
    <w:p w:rsidR="00B32DF7" w:rsidRPr="00B32DF7" w:rsidRDefault="00B32DF7" w:rsidP="00B32DF7">
      <w:pPr>
        <w:pStyle w:val="Prrafodelista"/>
        <w:tabs>
          <w:tab w:val="left" w:pos="426"/>
          <w:tab w:val="left" w:pos="709"/>
        </w:tabs>
        <w:jc w:val="both"/>
        <w:rPr>
          <w:rFonts w:ascii="Arial" w:hAnsi="Arial" w:cs="Arial"/>
          <w:lang w:val="es-ES"/>
        </w:rPr>
      </w:pP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Cable desnudo de cobre electrolítico calibre 4/0 AWG.</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Conectores soldables exotérmicos.</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Conectores mecánicos.</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Registros prefabricados de 0.4 x 0.4 x 0.4 m.</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Compuesto GEM.</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Puntas de salida d</w:t>
      </w:r>
      <w:r w:rsidR="00CB18D5">
        <w:rPr>
          <w:rFonts w:ascii="Arial" w:hAnsi="Arial" w:cs="Arial"/>
        </w:rPr>
        <w:t>e cable para conexión a equipos, elementos estructurales y otros sistemas (escaleras de emergencia, escalera eléctrica, elevadores, columnas, armados estructurales de losas, pisos, conexión con otros sistemas de tierras).</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Moldes para conectores soldables exotérmicos</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lang w:val="es-ES"/>
        </w:rPr>
        <w:t xml:space="preserve">Varilla de cobre electrolítico tipo </w:t>
      </w:r>
      <w:proofErr w:type="spellStart"/>
      <w:r w:rsidRPr="00B32DF7">
        <w:rPr>
          <w:rFonts w:ascii="Arial" w:hAnsi="Arial" w:cs="Arial"/>
          <w:lang w:val="es-ES"/>
        </w:rPr>
        <w:t>copperweld</w:t>
      </w:r>
      <w:proofErr w:type="spellEnd"/>
      <w:r w:rsidRPr="00B32DF7">
        <w:rPr>
          <w:rFonts w:ascii="Arial" w:hAnsi="Arial" w:cs="Arial"/>
          <w:lang w:val="es-ES"/>
        </w:rPr>
        <w:t xml:space="preserve"> de 3.05 m X 3/8</w:t>
      </w:r>
      <w:proofErr w:type="gramStart"/>
      <w:r w:rsidRPr="00B32DF7">
        <w:rPr>
          <w:rFonts w:ascii="Arial" w:hAnsi="Arial" w:cs="Arial"/>
          <w:lang w:val="es-ES"/>
        </w:rPr>
        <w:t>“ diámetro</w:t>
      </w:r>
      <w:proofErr w:type="gramEnd"/>
      <w:r w:rsidRPr="00B32DF7">
        <w:rPr>
          <w:rFonts w:ascii="Arial" w:hAnsi="Arial" w:cs="Arial"/>
          <w:lang w:val="es-ES"/>
        </w:rPr>
        <w:t>.</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lang w:val="es-ES"/>
        </w:rPr>
        <w:t>Taquetes de expansión tipo Z con tornillería</w:t>
      </w:r>
    </w:p>
    <w:p w:rsidR="00B32DF7" w:rsidRP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Barra de cobre electrolítico alojado en gabinete de acrílico de  0.40x0.40x0.20</w:t>
      </w:r>
    </w:p>
    <w:p w:rsidR="00B32DF7" w:rsidRDefault="00B32DF7"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sidRPr="00B32DF7">
        <w:rPr>
          <w:rFonts w:ascii="Arial" w:hAnsi="Arial" w:cs="Arial"/>
        </w:rPr>
        <w:t>Aisladores tipo barril.</w:t>
      </w:r>
    </w:p>
    <w:p w:rsidR="00B379FD" w:rsidRPr="00B32DF7" w:rsidRDefault="00B379FD" w:rsidP="00B32DF7">
      <w:pPr>
        <w:pStyle w:val="Prrafodelista"/>
        <w:numPr>
          <w:ilvl w:val="0"/>
          <w:numId w:val="13"/>
        </w:numPr>
        <w:tabs>
          <w:tab w:val="left" w:pos="426"/>
          <w:tab w:val="left" w:pos="709"/>
          <w:tab w:val="center" w:pos="4252"/>
          <w:tab w:val="right" w:pos="8504"/>
        </w:tabs>
        <w:spacing w:before="120"/>
        <w:jc w:val="both"/>
        <w:rPr>
          <w:rFonts w:ascii="Arial" w:hAnsi="Arial" w:cs="Arial"/>
        </w:rPr>
      </w:pPr>
      <w:r>
        <w:rPr>
          <w:rFonts w:ascii="Arial" w:hAnsi="Arial" w:cs="Arial"/>
        </w:rPr>
        <w:t xml:space="preserve">Conectores </w:t>
      </w:r>
      <w:proofErr w:type="spellStart"/>
      <w:r>
        <w:rPr>
          <w:rFonts w:ascii="Arial" w:hAnsi="Arial" w:cs="Arial"/>
        </w:rPr>
        <w:t>soldables</w:t>
      </w:r>
      <w:proofErr w:type="spellEnd"/>
      <w:r>
        <w:rPr>
          <w:rFonts w:ascii="Arial" w:hAnsi="Arial" w:cs="Arial"/>
        </w:rPr>
        <w:t xml:space="preserve"> de cable 4/0 a varilla corrugada de elementos estructurales.</w:t>
      </w:r>
    </w:p>
    <w:p w:rsidR="00B32DF7" w:rsidRPr="00B32DF7" w:rsidRDefault="00B32DF7" w:rsidP="00B32DF7">
      <w:pPr>
        <w:pStyle w:val="Prrafodelista"/>
        <w:tabs>
          <w:tab w:val="left" w:pos="426"/>
          <w:tab w:val="left" w:pos="709"/>
        </w:tabs>
        <w:ind w:left="1440"/>
        <w:jc w:val="both"/>
        <w:rPr>
          <w:rFonts w:ascii="Arial" w:hAnsi="Arial" w:cs="Arial"/>
        </w:rPr>
      </w:pPr>
    </w:p>
    <w:p w:rsidR="00B32DF7" w:rsidRDefault="00B32DF7" w:rsidP="00B32DF7">
      <w:pPr>
        <w:autoSpaceDE w:val="0"/>
        <w:autoSpaceDN w:val="0"/>
        <w:adjustRightInd w:val="0"/>
        <w:jc w:val="both"/>
        <w:rPr>
          <w:rFonts w:ascii="Arial" w:hAnsi="Arial" w:cs="Arial"/>
          <w:lang w:val="es-ES"/>
        </w:rPr>
      </w:pPr>
      <w:r w:rsidRPr="00B32DF7">
        <w:rPr>
          <w:rFonts w:ascii="Arial" w:hAnsi="Arial" w:cs="Arial"/>
          <w:lang w:val="es-ES"/>
        </w:rPr>
        <w:lastRenderedPageBreak/>
        <w:t>Se deberá de realizar la conexión equipotencial de la tierra estructural con el sistema de tierras de subestación, señalización y comunicaciones de acuerdo al plano ejecutivo TITM-T1-PL-SRIEE-ZTP-1506-001-022.</w:t>
      </w:r>
    </w:p>
    <w:p w:rsidR="00CB18D5" w:rsidRDefault="00CB18D5" w:rsidP="00B32DF7">
      <w:pPr>
        <w:autoSpaceDE w:val="0"/>
        <w:autoSpaceDN w:val="0"/>
        <w:adjustRightInd w:val="0"/>
        <w:jc w:val="both"/>
        <w:rPr>
          <w:rFonts w:ascii="Arial" w:hAnsi="Arial" w:cs="Arial"/>
          <w:lang w:val="es-ES"/>
        </w:rPr>
      </w:pPr>
    </w:p>
    <w:p w:rsidR="00CB18D5" w:rsidRDefault="00CB18D5" w:rsidP="00B32DF7">
      <w:pPr>
        <w:autoSpaceDE w:val="0"/>
        <w:autoSpaceDN w:val="0"/>
        <w:adjustRightInd w:val="0"/>
        <w:jc w:val="both"/>
        <w:rPr>
          <w:rFonts w:ascii="Arial" w:hAnsi="Arial" w:cs="Arial"/>
          <w:lang w:val="es-ES"/>
        </w:rPr>
      </w:pPr>
      <w:r>
        <w:rPr>
          <w:rFonts w:ascii="Arial" w:hAnsi="Arial" w:cs="Arial"/>
          <w:lang w:val="es-ES"/>
        </w:rPr>
        <w:t xml:space="preserve">Se harán las conexiones equipotenciales entre la malla de tierra de la estación con los diferentes sistemas de tierra. Es responsabilidad del instalador de los sistemas de puesta a tierra de estación la conexión equipotencial el cual considerará el desarrollo del cable necesario con un desarrollo de hasta 20 </w:t>
      </w:r>
      <w:proofErr w:type="spellStart"/>
      <w:r>
        <w:rPr>
          <w:rFonts w:ascii="Arial" w:hAnsi="Arial" w:cs="Arial"/>
          <w:lang w:val="es-ES"/>
        </w:rPr>
        <w:t>mts</w:t>
      </w:r>
      <w:proofErr w:type="spellEnd"/>
      <w:r>
        <w:rPr>
          <w:rFonts w:ascii="Arial" w:hAnsi="Arial" w:cs="Arial"/>
          <w:lang w:val="es-ES"/>
        </w:rPr>
        <w:t xml:space="preserve"> de longitud con los siguientes sistemas de tierras:</w:t>
      </w:r>
    </w:p>
    <w:p w:rsidR="00CB18D5" w:rsidRDefault="00CB18D5" w:rsidP="00CB18D5">
      <w:pPr>
        <w:pStyle w:val="Prrafodelista"/>
        <w:numPr>
          <w:ilvl w:val="0"/>
          <w:numId w:val="17"/>
        </w:numPr>
        <w:autoSpaceDE w:val="0"/>
        <w:autoSpaceDN w:val="0"/>
        <w:adjustRightInd w:val="0"/>
        <w:jc w:val="both"/>
        <w:rPr>
          <w:rFonts w:ascii="Arial" w:hAnsi="Arial" w:cs="Arial"/>
          <w:lang w:val="es-ES"/>
        </w:rPr>
      </w:pPr>
      <w:r>
        <w:rPr>
          <w:rFonts w:ascii="Arial" w:hAnsi="Arial" w:cs="Arial"/>
          <w:lang w:val="es-ES"/>
        </w:rPr>
        <w:t>Sistema de tierras de salas de comunicaciones</w:t>
      </w:r>
    </w:p>
    <w:p w:rsidR="00CB18D5" w:rsidRDefault="00CB18D5" w:rsidP="00CB18D5">
      <w:pPr>
        <w:pStyle w:val="Prrafodelista"/>
        <w:numPr>
          <w:ilvl w:val="0"/>
          <w:numId w:val="17"/>
        </w:numPr>
        <w:autoSpaceDE w:val="0"/>
        <w:autoSpaceDN w:val="0"/>
        <w:adjustRightInd w:val="0"/>
        <w:jc w:val="both"/>
        <w:rPr>
          <w:rFonts w:ascii="Arial" w:hAnsi="Arial" w:cs="Arial"/>
          <w:lang w:val="es-ES"/>
        </w:rPr>
      </w:pPr>
      <w:r>
        <w:rPr>
          <w:rFonts w:ascii="Arial" w:hAnsi="Arial" w:cs="Arial"/>
          <w:lang w:val="es-ES"/>
        </w:rPr>
        <w:t>Sistemas de tierras de salas de control</w:t>
      </w:r>
    </w:p>
    <w:p w:rsidR="00CB18D5" w:rsidRDefault="00CB18D5" w:rsidP="00CB18D5">
      <w:pPr>
        <w:pStyle w:val="Prrafodelista"/>
        <w:numPr>
          <w:ilvl w:val="0"/>
          <w:numId w:val="17"/>
        </w:numPr>
        <w:autoSpaceDE w:val="0"/>
        <w:autoSpaceDN w:val="0"/>
        <w:adjustRightInd w:val="0"/>
        <w:jc w:val="both"/>
        <w:rPr>
          <w:rFonts w:ascii="Arial" w:hAnsi="Arial" w:cs="Arial"/>
          <w:lang w:val="es-ES"/>
        </w:rPr>
      </w:pPr>
      <w:r>
        <w:rPr>
          <w:rFonts w:ascii="Arial" w:hAnsi="Arial" w:cs="Arial"/>
          <w:lang w:val="es-ES"/>
        </w:rPr>
        <w:t>Sistema de tierras de salas de señalización.</w:t>
      </w:r>
    </w:p>
    <w:p w:rsidR="00B32DF7" w:rsidRPr="00CB18D5" w:rsidRDefault="00CB18D5" w:rsidP="00CB18D5">
      <w:pPr>
        <w:pStyle w:val="Prrafodelista"/>
        <w:numPr>
          <w:ilvl w:val="0"/>
          <w:numId w:val="17"/>
        </w:numPr>
        <w:autoSpaceDE w:val="0"/>
        <w:autoSpaceDN w:val="0"/>
        <w:adjustRightInd w:val="0"/>
        <w:jc w:val="both"/>
        <w:rPr>
          <w:rFonts w:ascii="Arial" w:hAnsi="Arial" w:cs="Arial"/>
        </w:rPr>
      </w:pPr>
      <w:r w:rsidRPr="00CB18D5">
        <w:rPr>
          <w:rFonts w:ascii="Arial" w:hAnsi="Arial" w:cs="Arial"/>
          <w:lang w:val="es-ES"/>
        </w:rPr>
        <w:t>sistema de tierras de línea.</w:t>
      </w:r>
    </w:p>
    <w:p w:rsidR="00CB18D5" w:rsidRPr="00CB18D5" w:rsidRDefault="00CB18D5" w:rsidP="00CB18D5">
      <w:pPr>
        <w:pStyle w:val="Prrafodelista"/>
        <w:numPr>
          <w:ilvl w:val="0"/>
          <w:numId w:val="17"/>
        </w:numPr>
        <w:autoSpaceDE w:val="0"/>
        <w:autoSpaceDN w:val="0"/>
        <w:adjustRightInd w:val="0"/>
        <w:jc w:val="both"/>
        <w:rPr>
          <w:rFonts w:ascii="Arial" w:hAnsi="Arial" w:cs="Arial"/>
        </w:rPr>
      </w:pPr>
      <w:r>
        <w:rPr>
          <w:rFonts w:ascii="Arial" w:hAnsi="Arial" w:cs="Arial"/>
          <w:lang w:val="es-ES"/>
        </w:rPr>
        <w:t>Sistema de tierras de pararrayos</w:t>
      </w:r>
    </w:p>
    <w:p w:rsidR="00CB18D5" w:rsidRPr="00CB18D5" w:rsidRDefault="00CB18D5" w:rsidP="00CB18D5">
      <w:pPr>
        <w:pStyle w:val="Prrafodelista"/>
        <w:numPr>
          <w:ilvl w:val="0"/>
          <w:numId w:val="17"/>
        </w:numPr>
        <w:autoSpaceDE w:val="0"/>
        <w:autoSpaceDN w:val="0"/>
        <w:adjustRightInd w:val="0"/>
        <w:jc w:val="both"/>
        <w:rPr>
          <w:rFonts w:ascii="Arial" w:hAnsi="Arial" w:cs="Arial"/>
        </w:rPr>
      </w:pPr>
      <w:r>
        <w:rPr>
          <w:rFonts w:ascii="Arial" w:hAnsi="Arial" w:cs="Arial"/>
          <w:lang w:val="es-ES"/>
        </w:rPr>
        <w:t>Conexión con equipos  electromecánicos de estación (elevadores, escaleras mecánicas, SAI)</w:t>
      </w:r>
    </w:p>
    <w:p w:rsidR="00CB18D5" w:rsidRPr="00CB18D5" w:rsidRDefault="00CB18D5" w:rsidP="00CB18D5">
      <w:pPr>
        <w:pStyle w:val="Prrafodelista"/>
        <w:numPr>
          <w:ilvl w:val="0"/>
          <w:numId w:val="17"/>
        </w:numPr>
        <w:autoSpaceDE w:val="0"/>
        <w:autoSpaceDN w:val="0"/>
        <w:adjustRightInd w:val="0"/>
        <w:jc w:val="both"/>
        <w:rPr>
          <w:rFonts w:ascii="Arial" w:hAnsi="Arial" w:cs="Arial"/>
        </w:rPr>
      </w:pPr>
      <w:r>
        <w:rPr>
          <w:rFonts w:ascii="Arial" w:hAnsi="Arial" w:cs="Arial"/>
          <w:lang w:val="es-ES"/>
        </w:rPr>
        <w:t>Conexiones con elementos estructurales (escaleras de emergencia, armados estructurales de losas, pisos, columnas).</w:t>
      </w:r>
    </w:p>
    <w:p w:rsidR="00B379FD" w:rsidRDefault="00B379FD" w:rsidP="00CB18D5">
      <w:pPr>
        <w:autoSpaceDE w:val="0"/>
        <w:autoSpaceDN w:val="0"/>
        <w:adjustRightInd w:val="0"/>
        <w:jc w:val="both"/>
        <w:rPr>
          <w:rFonts w:ascii="Arial" w:hAnsi="Arial" w:cs="Arial"/>
        </w:rPr>
      </w:pPr>
      <w:r>
        <w:rPr>
          <w:rFonts w:ascii="Arial" w:hAnsi="Arial" w:cs="Arial"/>
        </w:rPr>
        <w:t>La conexión del sistema de tierras de la estación con los sistemas de tierra de línea y elementos estructurales en el nivel andén se hará mediante una barra de tierras con los espacios para interconexión necesarios.</w:t>
      </w:r>
    </w:p>
    <w:p w:rsidR="00B379FD" w:rsidRDefault="00B379FD" w:rsidP="00CB18D5">
      <w:pPr>
        <w:autoSpaceDE w:val="0"/>
        <w:autoSpaceDN w:val="0"/>
        <w:adjustRightInd w:val="0"/>
        <w:jc w:val="both"/>
        <w:rPr>
          <w:rFonts w:ascii="Arial" w:hAnsi="Arial" w:cs="Arial"/>
        </w:rPr>
      </w:pPr>
    </w:p>
    <w:p w:rsidR="00CB18D5" w:rsidRDefault="00CB18D5" w:rsidP="00CB18D5">
      <w:pPr>
        <w:autoSpaceDE w:val="0"/>
        <w:autoSpaceDN w:val="0"/>
        <w:adjustRightInd w:val="0"/>
        <w:jc w:val="both"/>
        <w:rPr>
          <w:rFonts w:ascii="Arial" w:hAnsi="Arial" w:cs="Arial"/>
        </w:rPr>
      </w:pPr>
      <w:r>
        <w:rPr>
          <w:rFonts w:ascii="Arial" w:hAnsi="Arial" w:cs="Arial"/>
        </w:rPr>
        <w:t>Las conexiones a contemplar seguirán lo indicado en los planos ejecutivos correspondientes.</w:t>
      </w:r>
    </w:p>
    <w:p w:rsidR="00CB18D5" w:rsidRDefault="00CB18D5" w:rsidP="00CB18D5">
      <w:pPr>
        <w:autoSpaceDE w:val="0"/>
        <w:autoSpaceDN w:val="0"/>
        <w:adjustRightInd w:val="0"/>
        <w:jc w:val="both"/>
        <w:rPr>
          <w:rFonts w:ascii="Arial" w:hAnsi="Arial" w:cs="Arial"/>
        </w:rPr>
      </w:pPr>
    </w:p>
    <w:p w:rsidR="00CB18D5" w:rsidRDefault="00CB18D5" w:rsidP="00CB18D5">
      <w:pPr>
        <w:autoSpaceDE w:val="0"/>
        <w:autoSpaceDN w:val="0"/>
        <w:adjustRightInd w:val="0"/>
        <w:jc w:val="both"/>
        <w:rPr>
          <w:rFonts w:ascii="Arial" w:hAnsi="Arial" w:cs="Arial"/>
        </w:rPr>
      </w:pPr>
      <w:r>
        <w:rPr>
          <w:rFonts w:ascii="Arial" w:hAnsi="Arial" w:cs="Arial"/>
        </w:rPr>
        <w:t>Para la conexión con el sistema de puesta a tierra de estación se considerarán dos puntos de conexión mediante una barra con al menos 10 borneros de conexión</w:t>
      </w:r>
      <w:r w:rsidR="00B379FD">
        <w:rPr>
          <w:rFonts w:ascii="Arial" w:hAnsi="Arial" w:cs="Arial"/>
        </w:rPr>
        <w:t xml:space="preserve">. </w:t>
      </w:r>
    </w:p>
    <w:p w:rsidR="00B379FD" w:rsidRDefault="00B379FD" w:rsidP="00CB18D5">
      <w:pPr>
        <w:autoSpaceDE w:val="0"/>
        <w:autoSpaceDN w:val="0"/>
        <w:adjustRightInd w:val="0"/>
        <w:jc w:val="both"/>
        <w:rPr>
          <w:rFonts w:ascii="Arial" w:hAnsi="Arial" w:cs="Arial"/>
        </w:rPr>
      </w:pPr>
    </w:p>
    <w:p w:rsidR="00B379FD" w:rsidRDefault="00B379FD" w:rsidP="00CB18D5">
      <w:pPr>
        <w:autoSpaceDE w:val="0"/>
        <w:autoSpaceDN w:val="0"/>
        <w:adjustRightInd w:val="0"/>
        <w:jc w:val="both"/>
        <w:rPr>
          <w:rFonts w:ascii="Arial" w:hAnsi="Arial" w:cs="Arial"/>
        </w:rPr>
      </w:pPr>
      <w:r>
        <w:rPr>
          <w:rFonts w:ascii="Arial" w:hAnsi="Arial" w:cs="Arial"/>
        </w:rPr>
        <w:t xml:space="preserve">En una de las conexiones se considerará </w:t>
      </w:r>
      <w:proofErr w:type="gramStart"/>
      <w:r>
        <w:rPr>
          <w:rFonts w:ascii="Arial" w:hAnsi="Arial" w:cs="Arial"/>
        </w:rPr>
        <w:t>una</w:t>
      </w:r>
      <w:proofErr w:type="gramEnd"/>
      <w:r>
        <w:rPr>
          <w:rFonts w:ascii="Arial" w:hAnsi="Arial" w:cs="Arial"/>
        </w:rPr>
        <w:t xml:space="preserve"> gabinete para alojamiento de barras de tierras con al menos 10 bornes de conexión).</w:t>
      </w:r>
    </w:p>
    <w:p w:rsidR="00B379FD" w:rsidRDefault="00B379FD" w:rsidP="00CB18D5">
      <w:pPr>
        <w:autoSpaceDE w:val="0"/>
        <w:autoSpaceDN w:val="0"/>
        <w:adjustRightInd w:val="0"/>
        <w:jc w:val="both"/>
        <w:rPr>
          <w:rFonts w:ascii="Arial" w:hAnsi="Arial" w:cs="Arial"/>
        </w:rPr>
      </w:pPr>
    </w:p>
    <w:p w:rsidR="00B379FD" w:rsidRDefault="00B379FD" w:rsidP="00CB18D5">
      <w:pPr>
        <w:autoSpaceDE w:val="0"/>
        <w:autoSpaceDN w:val="0"/>
        <w:adjustRightInd w:val="0"/>
        <w:jc w:val="both"/>
        <w:rPr>
          <w:rFonts w:ascii="Arial" w:hAnsi="Arial" w:cs="Arial"/>
        </w:rPr>
      </w:pPr>
    </w:p>
    <w:p w:rsidR="00B379FD" w:rsidRDefault="00B379FD" w:rsidP="00CB18D5">
      <w:pPr>
        <w:autoSpaceDE w:val="0"/>
        <w:autoSpaceDN w:val="0"/>
        <w:adjustRightInd w:val="0"/>
        <w:jc w:val="both"/>
        <w:rPr>
          <w:rFonts w:ascii="Arial" w:hAnsi="Arial" w:cs="Arial"/>
        </w:rPr>
      </w:pPr>
      <w:r>
        <w:rPr>
          <w:rFonts w:ascii="Arial" w:hAnsi="Arial" w:cs="Arial"/>
        </w:rPr>
        <w:t xml:space="preserve">En cada estación se considerarán cuando menos 6 conexiones </w:t>
      </w:r>
      <w:proofErr w:type="spellStart"/>
      <w:r>
        <w:rPr>
          <w:rFonts w:ascii="Arial" w:hAnsi="Arial" w:cs="Arial"/>
        </w:rPr>
        <w:t>soldables</w:t>
      </w:r>
      <w:proofErr w:type="spellEnd"/>
      <w:r>
        <w:rPr>
          <w:rFonts w:ascii="Arial" w:hAnsi="Arial" w:cs="Arial"/>
        </w:rPr>
        <w:t xml:space="preserve"> a las mallas estructurales de los firmes o pisos. También se considerará la conexión al sistema de tierras de la estación con cada columna estructural de acuerdo a lo planteado en el proyecto ejecutivo.</w:t>
      </w:r>
    </w:p>
    <w:p w:rsidR="00B379FD" w:rsidRDefault="00B379FD" w:rsidP="00CB18D5">
      <w:pPr>
        <w:autoSpaceDE w:val="0"/>
        <w:autoSpaceDN w:val="0"/>
        <w:adjustRightInd w:val="0"/>
        <w:jc w:val="both"/>
        <w:rPr>
          <w:rFonts w:ascii="Arial" w:hAnsi="Arial" w:cs="Arial"/>
        </w:rPr>
      </w:pPr>
    </w:p>
    <w:p w:rsidR="00B379FD" w:rsidRDefault="00B379FD" w:rsidP="00CB18D5">
      <w:pPr>
        <w:autoSpaceDE w:val="0"/>
        <w:autoSpaceDN w:val="0"/>
        <w:adjustRightInd w:val="0"/>
        <w:jc w:val="both"/>
        <w:rPr>
          <w:rFonts w:ascii="Arial" w:hAnsi="Arial" w:cs="Arial"/>
        </w:rPr>
      </w:pPr>
    </w:p>
    <w:p w:rsidR="00B379FD" w:rsidRPr="00CB18D5" w:rsidRDefault="00B379FD" w:rsidP="00CB18D5">
      <w:pPr>
        <w:autoSpaceDE w:val="0"/>
        <w:autoSpaceDN w:val="0"/>
        <w:adjustRightInd w:val="0"/>
        <w:jc w:val="both"/>
        <w:rPr>
          <w:rFonts w:ascii="Arial" w:hAnsi="Arial" w:cs="Arial"/>
        </w:rPr>
      </w:pPr>
    </w:p>
    <w:p w:rsidR="00CB18D5" w:rsidRPr="00CB18D5" w:rsidRDefault="00CB18D5" w:rsidP="00CB18D5">
      <w:pPr>
        <w:autoSpaceDE w:val="0"/>
        <w:autoSpaceDN w:val="0"/>
        <w:adjustRightInd w:val="0"/>
        <w:ind w:left="108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Default="00461C0C" w:rsidP="00B32DF7">
      <w:pPr>
        <w:pStyle w:val="Prrafodelista"/>
        <w:tabs>
          <w:tab w:val="left" w:pos="426"/>
          <w:tab w:val="left" w:pos="709"/>
        </w:tabs>
        <w:ind w:left="1440"/>
        <w:jc w:val="both"/>
        <w:rPr>
          <w:rFonts w:ascii="Arial" w:hAnsi="Arial" w:cs="Arial"/>
        </w:rPr>
      </w:pPr>
    </w:p>
    <w:p w:rsidR="00461C0C" w:rsidRPr="00B32DF7" w:rsidRDefault="00461C0C" w:rsidP="00B32DF7">
      <w:pPr>
        <w:pStyle w:val="Prrafodelista"/>
        <w:tabs>
          <w:tab w:val="left" w:pos="426"/>
          <w:tab w:val="left" w:pos="709"/>
        </w:tabs>
        <w:ind w:left="1440"/>
        <w:jc w:val="both"/>
        <w:rPr>
          <w:rFonts w:ascii="Arial" w:hAnsi="Arial" w:cs="Arial"/>
        </w:rPr>
      </w:pPr>
    </w:p>
    <w:p w:rsidR="00B32DF7" w:rsidRPr="00B32DF7" w:rsidRDefault="00B32DF7" w:rsidP="00B32DF7">
      <w:pPr>
        <w:pStyle w:val="Prrafodelista"/>
        <w:tabs>
          <w:tab w:val="left" w:pos="426"/>
          <w:tab w:val="left" w:pos="709"/>
        </w:tabs>
        <w:ind w:left="1440"/>
        <w:jc w:val="both"/>
        <w:rPr>
          <w:rFonts w:ascii="Arial" w:hAnsi="Arial" w:cs="Arial"/>
        </w:rPr>
      </w:pPr>
    </w:p>
    <w:p w:rsidR="00B32DF7" w:rsidRPr="00B32DF7" w:rsidRDefault="00B32DF7" w:rsidP="00B32DF7">
      <w:pPr>
        <w:pStyle w:val="Prrafodelista"/>
        <w:tabs>
          <w:tab w:val="left" w:pos="426"/>
          <w:tab w:val="left" w:pos="709"/>
        </w:tabs>
        <w:ind w:left="142"/>
        <w:jc w:val="both"/>
        <w:rPr>
          <w:rFonts w:ascii="Arial" w:hAnsi="Arial" w:cs="Arial"/>
        </w:rPr>
      </w:pPr>
      <w:r w:rsidRPr="00B32DF7">
        <w:rPr>
          <w:rFonts w:ascii="Arial" w:hAnsi="Arial" w:cs="Arial"/>
          <w:noProof/>
        </w:rPr>
        <w:lastRenderedPageBreak/>
        <w:drawing>
          <wp:inline distT="0" distB="0" distL="0" distR="0">
            <wp:extent cx="5344977" cy="3101008"/>
            <wp:effectExtent l="19050" t="0" r="8073" b="0"/>
            <wp:docPr id="20" name="2 Imagen" descr="cable desn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desnudo.JPG"/>
                    <pic:cNvPicPr/>
                  </pic:nvPicPr>
                  <pic:blipFill>
                    <a:blip r:embed="rId5" cstate="print"/>
                    <a:srcRect b="46968"/>
                    <a:stretch>
                      <a:fillRect/>
                    </a:stretch>
                  </pic:blipFill>
                  <pic:spPr>
                    <a:xfrm>
                      <a:off x="0" y="0"/>
                      <a:ext cx="5344977" cy="3101008"/>
                    </a:xfrm>
                    <a:prstGeom prst="rect">
                      <a:avLst/>
                    </a:prstGeom>
                  </pic:spPr>
                </pic:pic>
              </a:graphicData>
            </a:graphic>
          </wp:inline>
        </w:drawing>
      </w:r>
    </w:p>
    <w:p w:rsidR="00B32DF7" w:rsidRPr="00B32DF7" w:rsidRDefault="00B32DF7" w:rsidP="00B32DF7">
      <w:pPr>
        <w:pStyle w:val="Prrafodelista"/>
        <w:tabs>
          <w:tab w:val="left" w:pos="426"/>
          <w:tab w:val="left" w:pos="709"/>
        </w:tabs>
        <w:ind w:left="142"/>
        <w:jc w:val="both"/>
        <w:rPr>
          <w:rFonts w:ascii="Arial" w:hAnsi="Arial" w:cs="Arial"/>
        </w:rPr>
      </w:pPr>
      <w:r w:rsidRPr="00B32DF7">
        <w:rPr>
          <w:rFonts w:ascii="Arial" w:hAnsi="Arial" w:cs="Arial"/>
          <w:noProof/>
        </w:rPr>
        <w:drawing>
          <wp:inline distT="0" distB="0" distL="0" distR="0">
            <wp:extent cx="6441384" cy="3051313"/>
            <wp:effectExtent l="19050" t="0" r="0" b="0"/>
            <wp:docPr id="18" name="2 Imagen" descr="cable desn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le desnudo.JPG"/>
                    <pic:cNvPicPr/>
                  </pic:nvPicPr>
                  <pic:blipFill>
                    <a:blip r:embed="rId5" cstate="print"/>
                    <a:srcRect t="56700"/>
                    <a:stretch>
                      <a:fillRect/>
                    </a:stretch>
                  </pic:blipFill>
                  <pic:spPr>
                    <a:xfrm>
                      <a:off x="0" y="0"/>
                      <a:ext cx="6441384" cy="3051313"/>
                    </a:xfrm>
                    <a:prstGeom prst="rect">
                      <a:avLst/>
                    </a:prstGeom>
                  </pic:spPr>
                </pic:pic>
              </a:graphicData>
            </a:graphic>
          </wp:inline>
        </w:drawing>
      </w:r>
    </w:p>
    <w:p w:rsidR="00B32DF7" w:rsidRPr="00B32DF7" w:rsidRDefault="00B32DF7" w:rsidP="00B32DF7">
      <w:pPr>
        <w:pStyle w:val="Prrafodelista"/>
        <w:tabs>
          <w:tab w:val="left" w:pos="426"/>
          <w:tab w:val="left" w:pos="709"/>
        </w:tabs>
        <w:ind w:left="142"/>
        <w:jc w:val="both"/>
        <w:rPr>
          <w:rFonts w:ascii="Arial" w:hAnsi="Arial" w:cs="Arial"/>
        </w:rPr>
      </w:pPr>
    </w:p>
    <w:p w:rsidR="00461C0C" w:rsidRDefault="00461C0C">
      <w:pPr>
        <w:spacing w:after="200" w:line="276" w:lineRule="auto"/>
        <w:rPr>
          <w:rFonts w:ascii="Arial" w:hAnsi="Arial" w:cs="Arial"/>
        </w:rPr>
      </w:pPr>
      <w:r>
        <w:rPr>
          <w:rFonts w:ascii="Arial" w:hAnsi="Arial" w:cs="Arial"/>
        </w:rPr>
        <w:br w:type="page"/>
      </w:r>
    </w:p>
    <w:p w:rsidR="00461C0C" w:rsidRDefault="00461C0C">
      <w:pPr>
        <w:spacing w:after="200" w:line="276" w:lineRule="auto"/>
        <w:rPr>
          <w:rFonts w:ascii="Arial" w:hAnsi="Arial" w:cs="Arial"/>
        </w:rPr>
      </w:pPr>
      <w:r w:rsidRPr="00B32DF7">
        <w:rPr>
          <w:rFonts w:ascii="Arial" w:hAnsi="Arial" w:cs="Arial"/>
          <w:noProof/>
        </w:rPr>
        <w:lastRenderedPageBreak/>
        <w:drawing>
          <wp:anchor distT="0" distB="0" distL="114300" distR="114300" simplePos="0" relativeHeight="251659264" behindDoc="0" locked="0" layoutInCell="1" allowOverlap="1">
            <wp:simplePos x="0" y="0"/>
            <wp:positionH relativeFrom="column">
              <wp:posOffset>323850</wp:posOffset>
            </wp:positionH>
            <wp:positionV relativeFrom="paragraph">
              <wp:posOffset>-109220</wp:posOffset>
            </wp:positionV>
            <wp:extent cx="3991610" cy="4320540"/>
            <wp:effectExtent l="0" t="0" r="8890" b="3810"/>
            <wp:wrapSquare wrapText="bothSides"/>
            <wp:docPr id="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l="22892" t="24011" r="50068" b="24010"/>
                    <a:stretch>
                      <a:fillRect/>
                    </a:stretch>
                  </pic:blipFill>
                  <pic:spPr bwMode="auto">
                    <a:xfrm>
                      <a:off x="0" y="0"/>
                      <a:ext cx="3991610" cy="4320540"/>
                    </a:xfrm>
                    <a:prstGeom prst="rect">
                      <a:avLst/>
                    </a:prstGeom>
                    <a:noFill/>
                    <a:ln w="9525">
                      <a:noFill/>
                      <a:miter lim="800000"/>
                      <a:headEnd/>
                      <a:tailEnd/>
                    </a:ln>
                  </pic:spPr>
                </pic:pic>
              </a:graphicData>
            </a:graphic>
          </wp:anchor>
        </w:drawing>
      </w: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p>
    <w:p w:rsidR="00461C0C" w:rsidRDefault="00461C0C">
      <w:pPr>
        <w:spacing w:after="200" w:line="276" w:lineRule="auto"/>
        <w:rPr>
          <w:rFonts w:ascii="Arial" w:hAnsi="Arial" w:cs="Arial"/>
        </w:rPr>
      </w:pPr>
      <w:r>
        <w:rPr>
          <w:rFonts w:ascii="Arial" w:hAnsi="Arial" w:cs="Arial"/>
        </w:rPr>
        <w:br w:type="page"/>
      </w:r>
    </w:p>
    <w:p w:rsidR="00B32DF7" w:rsidRPr="00B32DF7" w:rsidRDefault="00B32DF7" w:rsidP="00B32DF7">
      <w:pPr>
        <w:pStyle w:val="Prrafodelista"/>
        <w:tabs>
          <w:tab w:val="left" w:pos="426"/>
          <w:tab w:val="left" w:pos="709"/>
        </w:tabs>
        <w:ind w:left="142"/>
        <w:jc w:val="both"/>
        <w:rPr>
          <w:rFonts w:ascii="Arial" w:hAnsi="Arial" w:cs="Arial"/>
        </w:rPr>
      </w:pPr>
    </w:p>
    <w:p w:rsidR="00B32DF7" w:rsidRPr="00B32DF7" w:rsidRDefault="00B32DF7" w:rsidP="00B32DF7">
      <w:pPr>
        <w:pStyle w:val="Prrafodelista"/>
        <w:tabs>
          <w:tab w:val="left" w:pos="426"/>
          <w:tab w:val="left" w:pos="709"/>
        </w:tabs>
        <w:ind w:left="1440"/>
        <w:jc w:val="both"/>
        <w:rPr>
          <w:rFonts w:ascii="Arial" w:hAnsi="Arial" w:cs="Arial"/>
        </w:rPr>
      </w:pPr>
    </w:p>
    <w:p w:rsidR="00B32DF7" w:rsidRPr="00B32DF7" w:rsidRDefault="00B32DF7" w:rsidP="00B32DF7">
      <w:pPr>
        <w:pStyle w:val="Prrafodelista"/>
        <w:tabs>
          <w:tab w:val="left" w:pos="426"/>
          <w:tab w:val="left" w:pos="709"/>
        </w:tabs>
        <w:ind w:left="1440"/>
        <w:jc w:val="both"/>
        <w:rPr>
          <w:rFonts w:ascii="Arial" w:hAnsi="Arial" w:cs="Arial"/>
        </w:rPr>
      </w:pPr>
    </w:p>
    <w:p w:rsidR="00B32DF7" w:rsidRPr="00B32DF7" w:rsidRDefault="00B32DF7" w:rsidP="00B32DF7">
      <w:pPr>
        <w:pStyle w:val="Prrafodelista"/>
        <w:tabs>
          <w:tab w:val="left" w:pos="142"/>
          <w:tab w:val="left" w:pos="426"/>
          <w:tab w:val="left" w:pos="709"/>
        </w:tabs>
        <w:ind w:left="142" w:hanging="142"/>
        <w:jc w:val="both"/>
        <w:rPr>
          <w:rFonts w:ascii="Arial" w:hAnsi="Arial" w:cs="Arial"/>
        </w:rPr>
      </w:pPr>
      <w:r w:rsidRPr="00B32DF7">
        <w:rPr>
          <w:rFonts w:ascii="Arial" w:hAnsi="Arial" w:cs="Arial"/>
          <w:noProof/>
        </w:rPr>
        <w:drawing>
          <wp:inline distT="0" distB="0" distL="0" distR="0">
            <wp:extent cx="6403335" cy="7523921"/>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31967" t="18210" r="32362" b="7353"/>
                    <a:stretch>
                      <a:fillRect/>
                    </a:stretch>
                  </pic:blipFill>
                  <pic:spPr bwMode="auto">
                    <a:xfrm>
                      <a:off x="0" y="0"/>
                      <a:ext cx="6406112" cy="7527184"/>
                    </a:xfrm>
                    <a:prstGeom prst="rect">
                      <a:avLst/>
                    </a:prstGeom>
                    <a:noFill/>
                    <a:ln w="9525">
                      <a:noFill/>
                      <a:miter lim="800000"/>
                      <a:headEnd/>
                      <a:tailEnd/>
                    </a:ln>
                  </pic:spPr>
                </pic:pic>
              </a:graphicData>
            </a:graphic>
          </wp:inline>
        </w:drawing>
      </w:r>
    </w:p>
    <w:p w:rsidR="00B32DF7" w:rsidRPr="00B32DF7" w:rsidRDefault="00B32DF7" w:rsidP="00B32DF7">
      <w:pPr>
        <w:pStyle w:val="Prrafodelista"/>
        <w:tabs>
          <w:tab w:val="left" w:pos="142"/>
          <w:tab w:val="left" w:pos="426"/>
          <w:tab w:val="left" w:pos="709"/>
        </w:tabs>
        <w:ind w:left="142" w:hanging="142"/>
        <w:jc w:val="both"/>
        <w:rPr>
          <w:rFonts w:ascii="Arial" w:hAnsi="Arial" w:cs="Arial"/>
        </w:rPr>
      </w:pPr>
      <w:r w:rsidRPr="00B32DF7">
        <w:rPr>
          <w:rFonts w:ascii="Arial" w:hAnsi="Arial" w:cs="Arial"/>
          <w:noProof/>
        </w:rPr>
        <w:lastRenderedPageBreak/>
        <w:drawing>
          <wp:inline distT="0" distB="0" distL="0" distR="0">
            <wp:extent cx="6212957" cy="7533861"/>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l="33050" t="18470" r="31794" b="5805"/>
                    <a:stretch>
                      <a:fillRect/>
                    </a:stretch>
                  </pic:blipFill>
                  <pic:spPr bwMode="auto">
                    <a:xfrm>
                      <a:off x="0" y="0"/>
                      <a:ext cx="6215026" cy="7536370"/>
                    </a:xfrm>
                    <a:prstGeom prst="rect">
                      <a:avLst/>
                    </a:prstGeom>
                    <a:noFill/>
                    <a:ln w="9525">
                      <a:noFill/>
                      <a:miter lim="800000"/>
                      <a:headEnd/>
                      <a:tailEnd/>
                    </a:ln>
                  </pic:spPr>
                </pic:pic>
              </a:graphicData>
            </a:graphic>
          </wp:inline>
        </w:drawing>
      </w:r>
    </w:p>
    <w:p w:rsidR="00B32DF7" w:rsidRPr="00B32DF7" w:rsidRDefault="00B32DF7">
      <w:pPr>
        <w:spacing w:after="200" w:line="276" w:lineRule="auto"/>
        <w:rPr>
          <w:rFonts w:ascii="Arial" w:eastAsiaTheme="majorEastAsia" w:hAnsi="Arial" w:cs="Arial"/>
          <w:b/>
          <w:bCs/>
        </w:rPr>
      </w:pPr>
      <w:bookmarkStart w:id="4" w:name="_Toc385315823"/>
      <w:bookmarkStart w:id="5" w:name="_Toc386457523"/>
      <w:r w:rsidRPr="00B32DF7">
        <w:rPr>
          <w:rFonts w:ascii="Arial" w:hAnsi="Arial" w:cs="Arial"/>
        </w:rPr>
        <w:br w:type="page"/>
      </w:r>
    </w:p>
    <w:p w:rsidR="00B32DF7" w:rsidRPr="00B32DF7" w:rsidRDefault="00B32DF7" w:rsidP="00B32DF7">
      <w:pPr>
        <w:pStyle w:val="Ttulo2"/>
        <w:keepNext w:val="0"/>
        <w:keepLines w:val="0"/>
        <w:tabs>
          <w:tab w:val="center" w:pos="4252"/>
          <w:tab w:val="right" w:pos="8504"/>
        </w:tabs>
        <w:spacing w:before="120" w:after="120" w:line="276" w:lineRule="auto"/>
        <w:contextualSpacing/>
        <w:rPr>
          <w:rFonts w:ascii="Arial" w:hAnsi="Arial" w:cs="Arial"/>
          <w:color w:val="auto"/>
          <w:sz w:val="22"/>
          <w:szCs w:val="22"/>
        </w:rPr>
      </w:pPr>
    </w:p>
    <w:p w:rsidR="00B32DF7" w:rsidRPr="00B32DF7" w:rsidRDefault="00B32DF7" w:rsidP="00B32DF7">
      <w:pPr>
        <w:pStyle w:val="Ttulo2"/>
        <w:keepNext w:val="0"/>
        <w:keepLines w:val="0"/>
        <w:tabs>
          <w:tab w:val="center" w:pos="4252"/>
          <w:tab w:val="right" w:pos="8504"/>
        </w:tabs>
        <w:spacing w:before="120" w:after="120" w:line="276" w:lineRule="auto"/>
        <w:contextualSpacing/>
        <w:rPr>
          <w:rFonts w:ascii="Arial" w:hAnsi="Arial" w:cs="Arial"/>
          <w:color w:val="auto"/>
          <w:sz w:val="22"/>
          <w:szCs w:val="22"/>
        </w:rPr>
      </w:pPr>
      <w:r w:rsidRPr="00B32DF7">
        <w:rPr>
          <w:rFonts w:ascii="Arial" w:hAnsi="Arial" w:cs="Arial"/>
          <w:color w:val="auto"/>
          <w:sz w:val="22"/>
          <w:szCs w:val="22"/>
        </w:rPr>
        <w:t>EJECUCIÓN DE OBRA</w:t>
      </w:r>
      <w:bookmarkEnd w:id="4"/>
      <w:bookmarkEnd w:id="5"/>
    </w:p>
    <w:p w:rsidR="00B32DF7" w:rsidRPr="00B32DF7" w:rsidRDefault="00B32DF7" w:rsidP="00B32DF7">
      <w:pPr>
        <w:pStyle w:val="TITULO-4"/>
        <w:numPr>
          <w:ilvl w:val="0"/>
          <w:numId w:val="15"/>
        </w:numPr>
        <w:rPr>
          <w:sz w:val="22"/>
          <w:szCs w:val="22"/>
        </w:rPr>
      </w:pPr>
      <w:bookmarkStart w:id="6" w:name="_Toc385315824"/>
      <w:bookmarkStart w:id="7" w:name="_Toc386457524"/>
      <w:r w:rsidRPr="00B32DF7">
        <w:rPr>
          <w:sz w:val="22"/>
          <w:szCs w:val="22"/>
        </w:rPr>
        <w:t>Trabajos preliminares</w:t>
      </w:r>
      <w:bookmarkEnd w:id="6"/>
      <w:bookmarkEnd w:id="7"/>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Estas actividades comprenden todos aquellos trabajos o actuaciones previas que deberán de desarrollarse, antes de ejecutar los trabajos de instalación de la red de puesta a tierra de estructuras de estación.</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rPr>
          <w:rFonts w:ascii="Arial" w:hAnsi="Arial" w:cs="Arial"/>
          <w:lang w:val="es-ES"/>
        </w:rPr>
      </w:pPr>
      <w:r w:rsidRPr="00B32DF7">
        <w:rPr>
          <w:rFonts w:ascii="Arial" w:hAnsi="Arial" w:cs="Arial"/>
          <w:lang w:val="es-ES"/>
        </w:rPr>
        <w:tab/>
      </w:r>
      <w:r w:rsidRPr="00B32DF7">
        <w:rPr>
          <w:rFonts w:ascii="Arial" w:hAnsi="Arial" w:cs="Arial"/>
          <w:lang w:val="es-ES"/>
        </w:rPr>
        <w:tab/>
        <w:t>Estos trabajos estarán basados bajo los lineamientos técnicos de las normas NOM 001 SEDE 2012 y NOM-022-STPS-2008.</w:t>
      </w:r>
    </w:p>
    <w:p w:rsidR="00B32DF7" w:rsidRPr="00B32DF7" w:rsidRDefault="00B32DF7" w:rsidP="00B32DF7">
      <w:pPr>
        <w:tabs>
          <w:tab w:val="center" w:pos="426"/>
        </w:tabs>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Se supervisará de manera constante la correcta instalación de los materiales que conforman el concepto de puesta a tierra de estructuras de estación.</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Se deberá hacer el trazo en primera instancia que permita prever posibles interferencias con las demás especialidades.</w:t>
      </w:r>
    </w:p>
    <w:p w:rsidR="00B32DF7" w:rsidRPr="00B32DF7" w:rsidRDefault="00B32DF7" w:rsidP="00B32DF7">
      <w:pPr>
        <w:jc w:val="both"/>
        <w:rPr>
          <w:rFonts w:ascii="Arial" w:hAnsi="Arial" w:cs="Arial"/>
          <w:lang w:val="es-ES"/>
        </w:rPr>
      </w:pPr>
    </w:p>
    <w:p w:rsidR="00B32DF7" w:rsidRPr="00B32DF7" w:rsidRDefault="00B32DF7" w:rsidP="00B32DF7">
      <w:pPr>
        <w:pStyle w:val="TITULO-4"/>
        <w:numPr>
          <w:ilvl w:val="0"/>
          <w:numId w:val="15"/>
        </w:numPr>
        <w:rPr>
          <w:sz w:val="22"/>
          <w:szCs w:val="22"/>
        </w:rPr>
      </w:pPr>
      <w:bookmarkStart w:id="8" w:name="_Toc385315825"/>
      <w:bookmarkStart w:id="9" w:name="_Toc386457525"/>
      <w:r w:rsidRPr="00B32DF7">
        <w:rPr>
          <w:sz w:val="22"/>
          <w:szCs w:val="22"/>
        </w:rPr>
        <w:t>Almacenaje y transporte</w:t>
      </w:r>
      <w:bookmarkEnd w:id="8"/>
      <w:bookmarkEnd w:id="9"/>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así lo requieran.</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El contratista de la obra, responsable de dichos trabajos tendrá a su cargo todos los materiales y accesorios que la instalación requiera.</w:t>
      </w:r>
    </w:p>
    <w:p w:rsidR="00B32DF7" w:rsidRPr="00B32DF7" w:rsidRDefault="00B32DF7" w:rsidP="00B32DF7">
      <w:pPr>
        <w:jc w:val="both"/>
        <w:rPr>
          <w:rFonts w:ascii="Arial" w:hAnsi="Arial" w:cs="Arial"/>
          <w:lang w:val="es-ES"/>
        </w:rPr>
      </w:pPr>
    </w:p>
    <w:p w:rsidR="00B32DF7" w:rsidRPr="00B32DF7" w:rsidRDefault="00B32DF7" w:rsidP="00B32DF7">
      <w:pPr>
        <w:pStyle w:val="TITULO-4"/>
        <w:numPr>
          <w:ilvl w:val="0"/>
          <w:numId w:val="15"/>
        </w:numPr>
        <w:rPr>
          <w:sz w:val="22"/>
          <w:szCs w:val="22"/>
        </w:rPr>
      </w:pPr>
      <w:bookmarkStart w:id="10" w:name="_Toc385315826"/>
      <w:bookmarkStart w:id="11" w:name="_Toc386457526"/>
      <w:r w:rsidRPr="00B32DF7">
        <w:rPr>
          <w:sz w:val="22"/>
          <w:szCs w:val="22"/>
        </w:rPr>
        <w:t>Instalación</w:t>
      </w:r>
      <w:bookmarkEnd w:id="10"/>
      <w:bookmarkEnd w:id="11"/>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La instalación de la puesta a tierra de estructuras de estación contemplará la colocación de los sistemas de fijación, soportes adecuados según lo indique el proyecto ejecutivo.</w:t>
      </w: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Es responsabilidad del contratista de instalaciones de puesta a tierra de estructuras de estación, realizar el tendido de cable antes de que se instalen las losas de concreto así como dejar el cable suficiente para la conexión de la estructura de la nave y los equipos que así lo requieran.</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t xml:space="preserve"> </w:t>
      </w:r>
      <w:r w:rsidRPr="00B32DF7">
        <w:rPr>
          <w:rFonts w:ascii="Arial" w:hAnsi="Arial" w:cs="Arial"/>
          <w:lang w:val="es-ES"/>
        </w:rPr>
        <w:tab/>
        <w:t>Se deberán de contemplar las conexiones soldables necesarias de acuerdo a lo que indique el proyecto ejecutivo y bajo los lineamientos normativos correspondientes.</w:t>
      </w: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t>Se deberá de enterrar la varilla totalmente de acuerdo al proyecto pero no deberá de trozarse, además se le pondrá el compuesto GEM para mejorar la tierra.</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Se establecerán los procedimientos para la atención de detalles y averías durante el proceso de montaje y pruebas y durante el periodo de garantía.</w:t>
      </w: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lastRenderedPageBreak/>
        <w:t>Es responsabilidad del subsistema de baja tensión la instalación del cable de conexión equipotencial de la malla de tierras estructural con los otros sistemas de tierras (SAF de estación, pararrayos, tierras aisladas de salas de comunicaciones, señalización y control), hasta la barra de interconexión de dichos sistemas con un desarrollo de hasta 15 m., con cable de cobre desnudo calibre 4/0 AWG de acuerdo al plano ejecutivo de detalles de puesta a tierra.</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Además el subsistema EBT también deberá de contemplar las conexiones de tierras hasta los elevadores y escaleras con cable desnudo de cobre calibre 4/0 AWG hasta el registro o cabina del equipo. La puesta a tierra en el interior de la cabina o registro será responsabilidad del subsistema correspondiente (ESC o ELV) siguiendo los lineamientos normativos aplicables.</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 xml:space="preserve">El instalador de la puesta a tierra de estructuras de estación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 </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Lo mencionado en el presente documento y omitido en los planos, o viceversa, habrá de ser ejecutado como si estuviese desarrollado en ambos documentos. En caso de contradicción entre los planos y esta especificación, prevalecerá lo prescrito en este último.</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Como consecuencia de la información recibida del instalador de la puesta a tierra de estructuras de estación, o por propia iniciativa a la vista de las necesidades de la obra, el Director de la misma podrá ordenar y proponer las modificaciones que considere necesarias de acuerdo con el presente documento y la legislación vigente sobre la materia.</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pStyle w:val="Ttulo2"/>
        <w:keepNext w:val="0"/>
        <w:keepLines w:val="0"/>
        <w:numPr>
          <w:ilvl w:val="1"/>
          <w:numId w:val="11"/>
        </w:numPr>
        <w:tabs>
          <w:tab w:val="center" w:pos="4252"/>
          <w:tab w:val="right" w:pos="8504"/>
        </w:tabs>
        <w:spacing w:before="120" w:after="120" w:line="276" w:lineRule="auto"/>
        <w:ind w:left="454" w:hanging="454"/>
        <w:contextualSpacing/>
        <w:rPr>
          <w:rFonts w:ascii="Arial" w:hAnsi="Arial" w:cs="Arial"/>
          <w:color w:val="auto"/>
          <w:sz w:val="22"/>
          <w:szCs w:val="22"/>
        </w:rPr>
      </w:pPr>
      <w:bookmarkStart w:id="12" w:name="_Toc385315827"/>
      <w:bookmarkStart w:id="13" w:name="_Toc386457527"/>
      <w:r w:rsidRPr="00B32DF7">
        <w:rPr>
          <w:rFonts w:ascii="Arial" w:hAnsi="Arial" w:cs="Arial"/>
          <w:color w:val="auto"/>
          <w:sz w:val="22"/>
          <w:szCs w:val="22"/>
        </w:rPr>
        <w:t>FORMA DE MEDICIÓN</w:t>
      </w:r>
      <w:bookmarkEnd w:id="12"/>
      <w:bookmarkEnd w:id="13"/>
    </w:p>
    <w:p w:rsidR="00B32DF7" w:rsidRPr="00B32DF7" w:rsidRDefault="00B32DF7" w:rsidP="00B32DF7"/>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t>La puesta a tierra de estructuras de estación, se medirá por unidad y contemplará el conjunto de accesorios, cableado, elementos de fijación, conexiones mecánicas y soldables y pruebas que en su conjunto coadyuven al correcto funcionamiento del sistema.</w:t>
      </w:r>
    </w:p>
    <w:p w:rsidR="00B32DF7" w:rsidRPr="00B32DF7" w:rsidRDefault="00B32DF7" w:rsidP="00B32DF7">
      <w:pPr>
        <w:pStyle w:val="Prrafodelista"/>
        <w:tabs>
          <w:tab w:val="left" w:pos="426"/>
          <w:tab w:val="left" w:pos="709"/>
        </w:tabs>
        <w:jc w:val="both"/>
        <w:rPr>
          <w:rFonts w:ascii="Arial" w:hAnsi="Arial" w:cs="Arial"/>
          <w:lang w:val="es-ES"/>
        </w:rPr>
      </w:pPr>
    </w:p>
    <w:p w:rsidR="00B32DF7" w:rsidRPr="00B32DF7" w:rsidRDefault="00B32DF7" w:rsidP="00B32DF7">
      <w:pPr>
        <w:pStyle w:val="Prrafodelista"/>
        <w:tabs>
          <w:tab w:val="left" w:pos="426"/>
          <w:tab w:val="left" w:pos="709"/>
        </w:tabs>
        <w:jc w:val="both"/>
        <w:rPr>
          <w:rFonts w:ascii="Arial" w:hAnsi="Arial" w:cs="Arial"/>
          <w:lang w:val="es-ES"/>
        </w:rPr>
      </w:pPr>
    </w:p>
    <w:p w:rsidR="00B32DF7" w:rsidRPr="00B32DF7" w:rsidRDefault="00B32DF7" w:rsidP="00B32DF7">
      <w:pPr>
        <w:pStyle w:val="Ttulo2"/>
        <w:keepNext w:val="0"/>
        <w:keepLines w:val="0"/>
        <w:numPr>
          <w:ilvl w:val="1"/>
          <w:numId w:val="11"/>
        </w:numPr>
        <w:tabs>
          <w:tab w:val="center" w:pos="4252"/>
          <w:tab w:val="right" w:pos="8504"/>
        </w:tabs>
        <w:spacing w:before="120" w:after="120" w:line="276" w:lineRule="auto"/>
        <w:ind w:left="454" w:hanging="454"/>
        <w:contextualSpacing/>
        <w:rPr>
          <w:rFonts w:ascii="Arial" w:hAnsi="Arial" w:cs="Arial"/>
          <w:color w:val="auto"/>
          <w:sz w:val="22"/>
          <w:szCs w:val="22"/>
        </w:rPr>
      </w:pPr>
      <w:bookmarkStart w:id="14" w:name="_Toc385315828"/>
      <w:bookmarkStart w:id="15" w:name="_Toc386457528"/>
      <w:r w:rsidRPr="00B32DF7">
        <w:rPr>
          <w:rFonts w:ascii="Arial" w:hAnsi="Arial" w:cs="Arial"/>
          <w:color w:val="auto"/>
          <w:sz w:val="22"/>
          <w:szCs w:val="22"/>
        </w:rPr>
        <w:t>BASE DE PAGO</w:t>
      </w:r>
      <w:bookmarkEnd w:id="14"/>
      <w:bookmarkEnd w:id="15"/>
    </w:p>
    <w:p w:rsidR="00B32DF7" w:rsidRPr="00B32DF7" w:rsidRDefault="00B32DF7" w:rsidP="00B32DF7"/>
    <w:p w:rsidR="00B32DF7" w:rsidRPr="00B32DF7" w:rsidRDefault="00B32DF7" w:rsidP="00B32DF7">
      <w:pPr>
        <w:tabs>
          <w:tab w:val="center" w:pos="426"/>
        </w:tabs>
        <w:jc w:val="both"/>
        <w:rPr>
          <w:rFonts w:ascii="Arial" w:hAnsi="Arial" w:cs="Arial"/>
          <w:lang w:val="es-ES"/>
        </w:rPr>
      </w:pPr>
      <w:r w:rsidRPr="00B32DF7">
        <w:rPr>
          <w:rFonts w:ascii="Arial" w:hAnsi="Arial" w:cs="Arial"/>
        </w:rPr>
        <w:tab/>
      </w:r>
      <w:r w:rsidRPr="00B32DF7">
        <w:rPr>
          <w:rFonts w:ascii="Arial" w:hAnsi="Arial" w:cs="Arial"/>
        </w:rPr>
        <w:tab/>
      </w:r>
      <w:r w:rsidRPr="00B32DF7">
        <w:rPr>
          <w:rFonts w:ascii="Arial" w:hAnsi="Arial" w:cs="Arial"/>
          <w:lang w:val="es-ES"/>
        </w:rPr>
        <w:t>El pago será por unidad de obra terminada para la puesta a tierra de estructuras de estación,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 xml:space="preserve">El precio unitario incluye: el suministro, transporte a obra, elementos de fijación, materiales, desperdicios, mano de obra, herramienta, almacenamiento, limpieza y retiro </w:t>
      </w:r>
      <w:r w:rsidRPr="00B32DF7">
        <w:rPr>
          <w:rFonts w:ascii="Arial" w:hAnsi="Arial" w:cs="Arial"/>
          <w:lang w:val="es-ES"/>
        </w:rPr>
        <w:lastRenderedPageBreak/>
        <w:t xml:space="preserve">de material fuera de la obra, pruebas, puesta en marcha y en general todos aquellos trabajos no indicados que sean necesarios para la correcta ejecución y terminación de esta unidad de obra. </w:t>
      </w:r>
    </w:p>
    <w:p w:rsidR="00B32DF7" w:rsidRPr="00B32DF7" w:rsidRDefault="00B32DF7" w:rsidP="00B32DF7">
      <w:pPr>
        <w:tabs>
          <w:tab w:val="center" w:pos="426"/>
        </w:tabs>
        <w:jc w:val="both"/>
        <w:rPr>
          <w:rFonts w:ascii="Arial" w:hAnsi="Arial" w:cs="Arial"/>
          <w:lang w:val="es-ES"/>
        </w:rPr>
      </w:pPr>
    </w:p>
    <w:p w:rsidR="00B32DF7" w:rsidRPr="00B32DF7" w:rsidRDefault="00B32DF7" w:rsidP="00B32DF7">
      <w:pPr>
        <w:tabs>
          <w:tab w:val="center" w:pos="426"/>
        </w:tabs>
        <w:jc w:val="both"/>
        <w:rPr>
          <w:rFonts w:ascii="Arial" w:hAnsi="Arial" w:cs="Arial"/>
        </w:rPr>
      </w:pPr>
      <w:r w:rsidRPr="00B32DF7">
        <w:rPr>
          <w:rFonts w:ascii="Arial" w:hAnsi="Arial" w:cs="Arial"/>
        </w:rPr>
        <w:tab/>
      </w:r>
      <w:r w:rsidRPr="00B32DF7">
        <w:rPr>
          <w:rFonts w:ascii="Arial" w:hAnsi="Arial" w:cs="Arial"/>
        </w:rPr>
        <w:tab/>
        <w:t xml:space="preserve">El precio unitario deberá contemplar el cumplimiento de las garantías, tanto la gestión de reclamo ante el fabricante, como el remplazo de partes y accesorios proporcionados por el mismo, cubriendo también la mano de obra, materiales misceláneos, herramientas, escaleras y andamios, accesorios, acarreos dentro y fuera de la obra, limpieza del área de trabajo y todo lo necesario para su correcta ejecución, pruebas de la red de </w:t>
      </w:r>
      <w:r w:rsidRPr="00B32DF7">
        <w:rPr>
          <w:rFonts w:ascii="Arial" w:hAnsi="Arial" w:cs="Arial"/>
          <w:lang w:val="es-ES"/>
        </w:rPr>
        <w:t>tierra de estructuras de estación</w:t>
      </w:r>
      <w:r w:rsidRPr="00B32DF7">
        <w:rPr>
          <w:rFonts w:ascii="Arial" w:hAnsi="Arial" w:cs="Arial"/>
        </w:rPr>
        <w:t xml:space="preserve"> a entera satisfacción del cliente.</w:t>
      </w:r>
    </w:p>
    <w:p w:rsidR="00B32DF7" w:rsidRPr="00B32DF7" w:rsidRDefault="00B32DF7" w:rsidP="00B32DF7">
      <w:pPr>
        <w:tabs>
          <w:tab w:val="center" w:pos="426"/>
        </w:tabs>
        <w:jc w:val="both"/>
        <w:rPr>
          <w:rFonts w:ascii="Arial" w:hAnsi="Arial" w:cs="Arial"/>
        </w:rPr>
      </w:pPr>
    </w:p>
    <w:p w:rsidR="00B32DF7" w:rsidRPr="00B32DF7" w:rsidRDefault="00B32DF7" w:rsidP="00B32DF7">
      <w:pPr>
        <w:tabs>
          <w:tab w:val="center" w:pos="426"/>
        </w:tabs>
        <w:jc w:val="both"/>
        <w:rPr>
          <w:rFonts w:ascii="Arial" w:hAnsi="Arial" w:cs="Arial"/>
          <w:lang w:val="es-ES"/>
        </w:rPr>
      </w:pPr>
      <w:r w:rsidRPr="00B32DF7">
        <w:rPr>
          <w:rFonts w:ascii="Arial" w:hAnsi="Arial" w:cs="Arial"/>
          <w:lang w:val="es-ES"/>
        </w:rPr>
        <w:tab/>
      </w:r>
      <w:r w:rsidRPr="00B32DF7">
        <w:rPr>
          <w:rFonts w:ascii="Arial" w:hAnsi="Arial" w:cs="Arial"/>
          <w:lang w:val="es-ES"/>
        </w:rPr>
        <w:tab/>
        <w:t>Los precios serán invariables cual quiera que sea la procedencia de los materiales y la distancia de transporte.</w:t>
      </w:r>
    </w:p>
    <w:p w:rsidR="00B32DF7" w:rsidRPr="00B32DF7" w:rsidRDefault="00B32DF7" w:rsidP="00B32DF7">
      <w:pPr>
        <w:jc w:val="both"/>
        <w:rPr>
          <w:rFonts w:ascii="Arial" w:hAnsi="Arial" w:cs="Arial"/>
          <w:lang w:val="es-ES"/>
        </w:rPr>
      </w:pPr>
    </w:p>
    <w:p w:rsidR="00B32DF7" w:rsidRPr="00B32DF7" w:rsidRDefault="00B32DF7" w:rsidP="00B32DF7">
      <w:pPr>
        <w:jc w:val="both"/>
        <w:rPr>
          <w:rFonts w:ascii="Arial" w:hAnsi="Arial" w:cs="Arial"/>
          <w:lang w:val="es-ES"/>
        </w:rPr>
      </w:pPr>
    </w:p>
    <w:p w:rsidR="00B32DF7" w:rsidRPr="00B32DF7" w:rsidRDefault="00B32DF7" w:rsidP="00B32DF7">
      <w:pPr>
        <w:pStyle w:val="Ttulo2"/>
        <w:keepNext w:val="0"/>
        <w:keepLines w:val="0"/>
        <w:numPr>
          <w:ilvl w:val="1"/>
          <w:numId w:val="12"/>
        </w:numPr>
        <w:tabs>
          <w:tab w:val="center" w:pos="4252"/>
          <w:tab w:val="right" w:pos="8504"/>
        </w:tabs>
        <w:spacing w:before="120" w:after="120" w:line="276" w:lineRule="auto"/>
        <w:ind w:left="454" w:hanging="454"/>
        <w:contextualSpacing/>
        <w:rPr>
          <w:rFonts w:ascii="Arial" w:hAnsi="Arial" w:cs="Arial"/>
          <w:color w:val="auto"/>
          <w:sz w:val="22"/>
          <w:szCs w:val="22"/>
        </w:rPr>
      </w:pPr>
      <w:bookmarkStart w:id="16" w:name="_Toc368157303"/>
      <w:bookmarkStart w:id="17" w:name="_Toc385237727"/>
      <w:bookmarkStart w:id="18" w:name="_Toc385315829"/>
      <w:bookmarkStart w:id="19" w:name="_Toc386457529"/>
      <w:r w:rsidRPr="00B32DF7">
        <w:rPr>
          <w:rFonts w:ascii="Arial" w:hAnsi="Arial" w:cs="Arial"/>
          <w:color w:val="auto"/>
          <w:sz w:val="22"/>
          <w:szCs w:val="22"/>
        </w:rPr>
        <w:t xml:space="preserve">PRUEBAS Y </w:t>
      </w:r>
      <w:bookmarkEnd w:id="16"/>
      <w:r w:rsidRPr="00B32DF7">
        <w:rPr>
          <w:rFonts w:ascii="Arial" w:hAnsi="Arial" w:cs="Arial"/>
          <w:color w:val="auto"/>
          <w:sz w:val="22"/>
          <w:szCs w:val="22"/>
        </w:rPr>
        <w:t>ENSAYOS</w:t>
      </w:r>
      <w:bookmarkEnd w:id="17"/>
      <w:bookmarkEnd w:id="18"/>
      <w:bookmarkEnd w:id="19"/>
    </w:p>
    <w:p w:rsidR="00B32DF7" w:rsidRPr="00B32DF7" w:rsidRDefault="00B32DF7" w:rsidP="00B32DF7"/>
    <w:p w:rsidR="00B32DF7" w:rsidRPr="00B32DF7" w:rsidRDefault="00B32DF7" w:rsidP="00B32DF7">
      <w:pPr>
        <w:tabs>
          <w:tab w:val="left" w:pos="426"/>
        </w:tabs>
        <w:jc w:val="both"/>
        <w:rPr>
          <w:rFonts w:ascii="Arial" w:hAnsi="Arial" w:cs="Arial"/>
        </w:rPr>
      </w:pPr>
      <w:r w:rsidRPr="00B32DF7">
        <w:rPr>
          <w:rFonts w:ascii="Arial" w:hAnsi="Arial" w:cs="Arial"/>
        </w:rPr>
        <w:tab/>
        <w:t>Las pruebas y ensayos se realizarán según el protocolo de pruebas propuesto por las normas mencionadas y aprobado por la Supervisión de Obra.</w:t>
      </w:r>
    </w:p>
    <w:p w:rsidR="00B32DF7" w:rsidRPr="00B32DF7" w:rsidRDefault="00B32DF7" w:rsidP="00B32DF7">
      <w:pPr>
        <w:tabs>
          <w:tab w:val="left" w:pos="426"/>
        </w:tabs>
        <w:jc w:val="both"/>
        <w:rPr>
          <w:rFonts w:ascii="Arial" w:hAnsi="Arial" w:cs="Arial"/>
        </w:rPr>
      </w:pPr>
    </w:p>
    <w:p w:rsidR="00B32DF7" w:rsidRPr="00B32DF7" w:rsidRDefault="00B32DF7" w:rsidP="00B32DF7">
      <w:pPr>
        <w:tabs>
          <w:tab w:val="left" w:pos="426"/>
        </w:tabs>
        <w:jc w:val="both"/>
        <w:rPr>
          <w:rFonts w:ascii="Arial" w:hAnsi="Arial" w:cs="Arial"/>
        </w:rPr>
      </w:pPr>
      <w:r w:rsidRPr="00B32DF7">
        <w:rPr>
          <w:rFonts w:ascii="Arial" w:hAnsi="Arial" w:cs="Arial"/>
        </w:rPr>
        <w:tab/>
        <w:t>Deberá existir un documento en donde se registren las variables y las lecturas tomadas al momento de correr la prueba, en dicho documento quedará de manifiesto que la Supervisión de Obra, recibe el sistema trabajando en óptimas condiciones, dando cumplimiento a lo establecido en el proyecto ejecutivo y a las normas vigentes.</w:t>
      </w:r>
    </w:p>
    <w:p w:rsidR="00B32DF7" w:rsidRPr="00B32DF7" w:rsidRDefault="00B32DF7" w:rsidP="00B32DF7">
      <w:pPr>
        <w:tabs>
          <w:tab w:val="left" w:pos="426"/>
        </w:tabs>
        <w:jc w:val="both"/>
        <w:rPr>
          <w:rFonts w:ascii="Arial" w:hAnsi="Arial" w:cs="Arial"/>
        </w:rPr>
      </w:pPr>
    </w:p>
    <w:p w:rsidR="00B32DF7" w:rsidRPr="00B32DF7" w:rsidRDefault="00B32DF7" w:rsidP="00B32DF7">
      <w:pPr>
        <w:tabs>
          <w:tab w:val="left" w:pos="426"/>
        </w:tabs>
        <w:jc w:val="both"/>
        <w:rPr>
          <w:rFonts w:ascii="Arial" w:hAnsi="Arial" w:cs="Arial"/>
        </w:rPr>
      </w:pPr>
      <w:r w:rsidRPr="00B32DF7">
        <w:rPr>
          <w:rFonts w:ascii="Arial" w:hAnsi="Arial" w:cs="Arial"/>
        </w:rPr>
        <w:tab/>
        <w:t>Cuando menos se deberán de hacer las siguientes pruebas a la red de tierras de la estructura de la estación:</w:t>
      </w:r>
    </w:p>
    <w:p w:rsidR="00B32DF7" w:rsidRPr="00B32DF7" w:rsidRDefault="00B32DF7" w:rsidP="00B32DF7">
      <w:pPr>
        <w:tabs>
          <w:tab w:val="left" w:pos="426"/>
        </w:tabs>
        <w:ind w:firstLine="567"/>
        <w:jc w:val="both"/>
        <w:rPr>
          <w:rFonts w:ascii="Arial" w:hAnsi="Arial" w:cs="Arial"/>
        </w:rPr>
      </w:pPr>
    </w:p>
    <w:p w:rsidR="00B32DF7" w:rsidRPr="00B32DF7" w:rsidRDefault="00B32DF7" w:rsidP="00B32DF7">
      <w:pPr>
        <w:pStyle w:val="Prrafodelista"/>
        <w:numPr>
          <w:ilvl w:val="0"/>
          <w:numId w:val="16"/>
        </w:numPr>
        <w:tabs>
          <w:tab w:val="left" w:pos="426"/>
          <w:tab w:val="left" w:pos="851"/>
          <w:tab w:val="left" w:pos="1134"/>
          <w:tab w:val="left" w:pos="1418"/>
          <w:tab w:val="left" w:pos="1701"/>
        </w:tabs>
        <w:spacing w:line="360" w:lineRule="auto"/>
        <w:jc w:val="both"/>
        <w:rPr>
          <w:rFonts w:ascii="Arial" w:hAnsi="Arial" w:cs="Arial"/>
        </w:rPr>
      </w:pPr>
      <w:r w:rsidRPr="00B32DF7">
        <w:rPr>
          <w:rFonts w:ascii="Arial" w:hAnsi="Arial" w:cs="Arial"/>
        </w:rPr>
        <w:t>Que los conectores mecánicos estén firmemente colocados.</w:t>
      </w:r>
    </w:p>
    <w:p w:rsidR="00B32DF7" w:rsidRPr="00B32DF7" w:rsidRDefault="00B32DF7" w:rsidP="00B32DF7">
      <w:pPr>
        <w:pStyle w:val="Prrafodelista"/>
        <w:numPr>
          <w:ilvl w:val="0"/>
          <w:numId w:val="16"/>
        </w:numPr>
        <w:tabs>
          <w:tab w:val="left" w:pos="426"/>
          <w:tab w:val="left" w:pos="851"/>
          <w:tab w:val="left" w:pos="1134"/>
          <w:tab w:val="left" w:pos="1418"/>
          <w:tab w:val="left" w:pos="1701"/>
        </w:tabs>
        <w:spacing w:line="360" w:lineRule="auto"/>
        <w:jc w:val="both"/>
        <w:rPr>
          <w:rFonts w:ascii="Arial" w:hAnsi="Arial" w:cs="Arial"/>
        </w:rPr>
      </w:pPr>
      <w:r w:rsidRPr="00B32DF7">
        <w:rPr>
          <w:rFonts w:ascii="Arial" w:hAnsi="Arial" w:cs="Arial"/>
        </w:rPr>
        <w:t>Que los conectores soldables estén firmemente fusionados</w:t>
      </w:r>
    </w:p>
    <w:p w:rsidR="00B32DF7" w:rsidRPr="00B32DF7" w:rsidRDefault="00B32DF7" w:rsidP="00B32DF7">
      <w:pPr>
        <w:pStyle w:val="Prrafodelista"/>
        <w:numPr>
          <w:ilvl w:val="0"/>
          <w:numId w:val="16"/>
        </w:numPr>
        <w:tabs>
          <w:tab w:val="left" w:pos="426"/>
          <w:tab w:val="left" w:pos="851"/>
          <w:tab w:val="left" w:pos="1134"/>
          <w:tab w:val="left" w:pos="1418"/>
          <w:tab w:val="left" w:pos="1701"/>
        </w:tabs>
        <w:spacing w:line="360" w:lineRule="auto"/>
        <w:jc w:val="both"/>
        <w:rPr>
          <w:rFonts w:ascii="Arial" w:hAnsi="Arial" w:cs="Arial"/>
        </w:rPr>
      </w:pPr>
      <w:r w:rsidRPr="00B32DF7">
        <w:rPr>
          <w:rFonts w:ascii="Arial" w:hAnsi="Arial" w:cs="Arial"/>
        </w:rPr>
        <w:t xml:space="preserve">Medición de la resistencia óhmica con </w:t>
      </w:r>
      <w:proofErr w:type="spellStart"/>
      <w:r w:rsidRPr="00B32DF7">
        <w:rPr>
          <w:rFonts w:ascii="Arial" w:hAnsi="Arial" w:cs="Arial"/>
        </w:rPr>
        <w:t>terrómetro</w:t>
      </w:r>
      <w:proofErr w:type="spellEnd"/>
      <w:r w:rsidRPr="00B32DF7">
        <w:rPr>
          <w:rFonts w:ascii="Arial" w:hAnsi="Arial" w:cs="Arial"/>
        </w:rPr>
        <w:t xml:space="preserve"> adecuado y calibrado.</w:t>
      </w:r>
    </w:p>
    <w:p w:rsidR="00B32DF7" w:rsidRPr="00B32DF7" w:rsidRDefault="00B32DF7" w:rsidP="00B32DF7">
      <w:pPr>
        <w:autoSpaceDE w:val="0"/>
        <w:autoSpaceDN w:val="0"/>
        <w:adjustRightInd w:val="0"/>
        <w:jc w:val="both"/>
        <w:rPr>
          <w:rFonts w:ascii="Arial" w:hAnsi="Arial" w:cs="Arial"/>
        </w:rPr>
      </w:pPr>
    </w:p>
    <w:p w:rsidR="00CB18D5" w:rsidRPr="00B32DF7" w:rsidRDefault="00B32DF7" w:rsidP="00B32DF7">
      <w:pPr>
        <w:autoSpaceDE w:val="0"/>
        <w:autoSpaceDN w:val="0"/>
        <w:adjustRightInd w:val="0"/>
        <w:jc w:val="both"/>
        <w:rPr>
          <w:rFonts w:ascii="Arial" w:hAnsi="Arial" w:cs="Arial"/>
          <w:lang w:val="es-ES_tradnl"/>
        </w:rPr>
      </w:pPr>
      <w:r w:rsidRPr="00B32DF7">
        <w:rPr>
          <w:rFonts w:ascii="Arial" w:hAnsi="Arial" w:cs="Arial"/>
        </w:rPr>
        <w:t xml:space="preserve">Que las lecturas de tierra estén dentro de las </w:t>
      </w:r>
      <w:proofErr w:type="spellStart"/>
      <w:r w:rsidRPr="00B32DF7">
        <w:rPr>
          <w:rFonts w:ascii="Arial" w:hAnsi="Arial" w:cs="Arial"/>
        </w:rPr>
        <w:t>rec</w:t>
      </w:r>
      <w:proofErr w:type="spellEnd"/>
      <w:r w:rsidRPr="00B32DF7">
        <w:t xml:space="preserve"> </w:t>
      </w:r>
      <w:r w:rsidRPr="00B32DF7">
        <w:rPr>
          <w:rFonts w:ascii="Arial" w:hAnsi="Arial" w:cs="Arial"/>
        </w:rPr>
        <w:t>recomendaciones de las normas vigentes.</w:t>
      </w:r>
    </w:p>
    <w:sectPr w:rsidR="00CB18D5" w:rsidRPr="00B32DF7" w:rsidSect="005066F1">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upperRoman"/>
      <w:lvlText w:val="%1."/>
      <w:lvlJc w:val="left"/>
      <w:pPr>
        <w:tabs>
          <w:tab w:val="num" w:pos="360"/>
        </w:tabs>
        <w:ind w:left="0" w:firstLine="0"/>
      </w:pPr>
    </w:lvl>
    <w:lvl w:ilvl="1">
      <w:start w:val="1"/>
      <w:numFmt w:val="lowerLetter"/>
      <w:lvlText w:val="%2)"/>
      <w:lvlJc w:val="left"/>
      <w:pPr>
        <w:tabs>
          <w:tab w:val="num" w:pos="1080"/>
        </w:tabs>
        <w:ind w:left="1080" w:hanging="360"/>
      </w:pPr>
    </w:lvl>
    <w:lvl w:ilvl="2">
      <w:start w:val="1"/>
      <w:numFmt w:val="decimal"/>
      <w:pStyle w:val="Ttulo3"/>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nsid w:val="00000041"/>
    <w:multiLevelType w:val="singleLevel"/>
    <w:tmpl w:val="00000041"/>
    <w:name w:val="WW8Num66"/>
    <w:lvl w:ilvl="0">
      <w:start w:val="3"/>
      <w:numFmt w:val="decimal"/>
      <w:lvlText w:val="%1."/>
      <w:lvlJc w:val="left"/>
      <w:pPr>
        <w:tabs>
          <w:tab w:val="num" w:pos="284"/>
        </w:tabs>
        <w:ind w:left="284" w:hanging="284"/>
      </w:pPr>
    </w:lvl>
  </w:abstractNum>
  <w:abstractNum w:abstractNumId="2">
    <w:nsid w:val="0000005B"/>
    <w:multiLevelType w:val="multilevel"/>
    <w:tmpl w:val="0000005B"/>
    <w:name w:val="WW8Num93"/>
    <w:lvl w:ilvl="0">
      <w:start w:val="1"/>
      <w:numFmt w:val="decimal"/>
      <w:lvlText w:val="%1)"/>
      <w:lvlJc w:val="left"/>
      <w:pPr>
        <w:tabs>
          <w:tab w:val="num" w:pos="360"/>
        </w:tabs>
        <w:ind w:left="360" w:hanging="360"/>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74"/>
    <w:multiLevelType w:val="singleLevel"/>
    <w:tmpl w:val="00000074"/>
    <w:name w:val="WW8Num118"/>
    <w:lvl w:ilvl="0">
      <w:start w:val="1"/>
      <w:numFmt w:val="decimal"/>
      <w:lvlText w:val="%1)"/>
      <w:lvlJc w:val="left"/>
      <w:pPr>
        <w:tabs>
          <w:tab w:val="num" w:pos="360"/>
        </w:tabs>
        <w:ind w:left="360" w:hanging="360"/>
      </w:pPr>
    </w:lvl>
  </w:abstractNum>
  <w:abstractNum w:abstractNumId="4">
    <w:nsid w:val="0000009B"/>
    <w:multiLevelType w:val="multilevel"/>
    <w:tmpl w:val="ACAE1E36"/>
    <w:name w:val="WW8Num158"/>
    <w:lvl w:ilvl="0">
      <w:start w:val="1"/>
      <w:numFmt w:val="lowerLetter"/>
      <w:lvlText w:val="%1)"/>
      <w:lvlJc w:val="left"/>
      <w:pPr>
        <w:tabs>
          <w:tab w:val="num" w:pos="284"/>
        </w:tabs>
        <w:ind w:left="284" w:hanging="284"/>
      </w:pPr>
      <w:rPr>
        <w:rFonts w:ascii="Arial" w:hAnsi="Arial" w:cs="Arial" w:hint="default"/>
        <w:b w:val="0"/>
        <w:i w:val="0"/>
        <w:color w:val="auto"/>
        <w:sz w:val="22"/>
        <w:szCs w:val="22"/>
      </w:rPr>
    </w:lvl>
    <w:lvl w:ilvl="1">
      <w:start w:val="1"/>
      <w:numFmt w:val="upperLetter"/>
      <w:lvlText w:val="%2."/>
      <w:lvlJc w:val="left"/>
      <w:pPr>
        <w:tabs>
          <w:tab w:val="num" w:pos="513"/>
        </w:tabs>
        <w:ind w:left="513" w:firstLine="0"/>
      </w:pPr>
      <w:rPr>
        <w:b w:val="0"/>
        <w:i w:val="0"/>
        <w:color w:val="auto"/>
      </w:rPr>
    </w:lvl>
    <w:lvl w:ilvl="2">
      <w:start w:val="1"/>
      <w:numFmt w:val="lowerRoman"/>
      <w:lvlText w:val="%3."/>
      <w:lvlJc w:val="right"/>
      <w:pPr>
        <w:tabs>
          <w:tab w:val="num" w:pos="1593"/>
        </w:tabs>
        <w:ind w:left="1593" w:hanging="180"/>
      </w:pPr>
    </w:lvl>
    <w:lvl w:ilvl="3">
      <w:start w:val="1"/>
      <w:numFmt w:val="decimal"/>
      <w:lvlText w:val="%4."/>
      <w:lvlJc w:val="left"/>
      <w:pPr>
        <w:tabs>
          <w:tab w:val="num" w:pos="2313"/>
        </w:tabs>
        <w:ind w:left="2313" w:hanging="360"/>
      </w:pPr>
    </w:lvl>
    <w:lvl w:ilvl="4">
      <w:start w:val="1"/>
      <w:numFmt w:val="lowerLetter"/>
      <w:lvlText w:val="%5."/>
      <w:lvlJc w:val="left"/>
      <w:pPr>
        <w:tabs>
          <w:tab w:val="num" w:pos="3033"/>
        </w:tabs>
        <w:ind w:left="3033" w:hanging="360"/>
      </w:pPr>
    </w:lvl>
    <w:lvl w:ilvl="5">
      <w:start w:val="1"/>
      <w:numFmt w:val="lowerRoman"/>
      <w:lvlText w:val="%6."/>
      <w:lvlJc w:val="right"/>
      <w:pPr>
        <w:tabs>
          <w:tab w:val="num" w:pos="3753"/>
        </w:tabs>
        <w:ind w:left="3753" w:hanging="180"/>
      </w:pPr>
    </w:lvl>
    <w:lvl w:ilvl="6">
      <w:start w:val="1"/>
      <w:numFmt w:val="decimal"/>
      <w:lvlText w:val="%7."/>
      <w:lvlJc w:val="left"/>
      <w:pPr>
        <w:tabs>
          <w:tab w:val="num" w:pos="4473"/>
        </w:tabs>
        <w:ind w:left="4473" w:hanging="360"/>
      </w:pPr>
    </w:lvl>
    <w:lvl w:ilvl="7">
      <w:start w:val="1"/>
      <w:numFmt w:val="lowerLetter"/>
      <w:lvlText w:val="%8."/>
      <w:lvlJc w:val="left"/>
      <w:pPr>
        <w:tabs>
          <w:tab w:val="num" w:pos="5193"/>
        </w:tabs>
        <w:ind w:left="5193" w:hanging="360"/>
      </w:pPr>
    </w:lvl>
    <w:lvl w:ilvl="8">
      <w:start w:val="1"/>
      <w:numFmt w:val="lowerRoman"/>
      <w:lvlText w:val="%9."/>
      <w:lvlJc w:val="right"/>
      <w:pPr>
        <w:tabs>
          <w:tab w:val="num" w:pos="5913"/>
        </w:tabs>
        <w:ind w:left="5913" w:hanging="180"/>
      </w:pPr>
    </w:lvl>
  </w:abstractNum>
  <w:abstractNum w:abstractNumId="5">
    <w:nsid w:val="00000182"/>
    <w:multiLevelType w:val="singleLevel"/>
    <w:tmpl w:val="00000182"/>
    <w:name w:val="WW8Num393"/>
    <w:lvl w:ilvl="0">
      <w:start w:val="1"/>
      <w:numFmt w:val="decimal"/>
      <w:lvlText w:val="%1."/>
      <w:lvlJc w:val="left"/>
      <w:pPr>
        <w:tabs>
          <w:tab w:val="num" w:pos="284"/>
        </w:tabs>
        <w:ind w:left="284" w:hanging="284"/>
      </w:pPr>
    </w:lvl>
  </w:abstractNum>
  <w:abstractNum w:abstractNumId="6">
    <w:nsid w:val="0000018A"/>
    <w:multiLevelType w:val="multilevel"/>
    <w:tmpl w:val="0000018A"/>
    <w:name w:val="WW8Num402"/>
    <w:lvl w:ilvl="0">
      <w:start w:val="1"/>
      <w:numFmt w:val="decimal"/>
      <w:lvlText w:val="%1."/>
      <w:lvlJc w:val="left"/>
      <w:pPr>
        <w:tabs>
          <w:tab w:val="num" w:pos="284"/>
        </w:tabs>
        <w:ind w:left="284" w:hanging="284"/>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0000190"/>
    <w:multiLevelType w:val="singleLevel"/>
    <w:tmpl w:val="00000190"/>
    <w:name w:val="WW8Num408"/>
    <w:lvl w:ilvl="0">
      <w:start w:val="1"/>
      <w:numFmt w:val="decimal"/>
      <w:lvlText w:val="%1."/>
      <w:lvlJc w:val="left"/>
      <w:pPr>
        <w:tabs>
          <w:tab w:val="num" w:pos="284"/>
        </w:tabs>
        <w:ind w:left="284" w:hanging="284"/>
      </w:pPr>
    </w:lvl>
  </w:abstractNum>
  <w:abstractNum w:abstractNumId="8">
    <w:nsid w:val="000001BB"/>
    <w:multiLevelType w:val="multilevel"/>
    <w:tmpl w:val="000001BB"/>
    <w:name w:val="WW8Num451"/>
    <w:lvl w:ilvl="0">
      <w:start w:val="2"/>
      <w:numFmt w:val="lowerLetter"/>
      <w:lvlText w:val="%1."/>
      <w:lvlJc w:val="left"/>
      <w:pPr>
        <w:tabs>
          <w:tab w:val="num" w:pos="851"/>
        </w:tabs>
        <w:ind w:left="851" w:firstLine="0"/>
      </w:pPr>
    </w:lvl>
    <w:lvl w:ilvl="1">
      <w:start w:val="2"/>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2B175B19"/>
    <w:multiLevelType w:val="hybridMultilevel"/>
    <w:tmpl w:val="BE0C4B5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nsid w:val="3C58347D"/>
    <w:multiLevelType w:val="multilevel"/>
    <w:tmpl w:val="24E2788C"/>
    <w:lvl w:ilvl="0">
      <w:start w:val="1"/>
      <w:numFmt w:val="decimal"/>
      <w:pStyle w:val="TITULO-1"/>
      <w:lvlText w:val="%1."/>
      <w:lvlJc w:val="left"/>
      <w:pPr>
        <w:tabs>
          <w:tab w:val="num" w:pos="360"/>
        </w:tabs>
        <w:ind w:left="360" w:hanging="360"/>
      </w:pPr>
      <w:rPr>
        <w:rFonts w:hint="default"/>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3F07371C"/>
    <w:multiLevelType w:val="multilevel"/>
    <w:tmpl w:val="FFE8FDEE"/>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4A352757"/>
    <w:multiLevelType w:val="hybridMultilevel"/>
    <w:tmpl w:val="02862B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5661121F"/>
    <w:multiLevelType w:val="hybridMultilevel"/>
    <w:tmpl w:val="A5321C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5AF47B92"/>
    <w:multiLevelType w:val="hybridMultilevel"/>
    <w:tmpl w:val="B8AE93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712614FF"/>
    <w:multiLevelType w:val="multilevel"/>
    <w:tmpl w:val="FFE8FDEE"/>
    <w:styleLink w:val="Estilo3"/>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15"/>
  </w:num>
  <w:num w:numId="11">
    <w:abstractNumId w:val="11"/>
    <w:lvlOverride w:ilvl="0">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Override>
    <w:lvlOverride w:ilvl="1">
      <w:lvl w:ilvl="1">
        <w:start w:val="1"/>
        <w:numFmt w:val="decimal"/>
        <w:lvlText w:val="%1.%2"/>
        <w:lvlJc w:val="left"/>
        <w:pPr>
          <w:ind w:left="1144"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2">
    <w:abstractNumId w:val="11"/>
    <w:lvlOverride w:ilvl="0">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rPr>
      </w:lvl>
    </w:lvlOverride>
    <w:lvlOverride w:ilvl="1">
      <w:lvl w:ilvl="1">
        <w:start w:val="1"/>
        <w:numFmt w:val="decimal"/>
        <w:lvlText w:val="%1.%2"/>
        <w:lvlJc w:val="left"/>
        <w:pPr>
          <w:ind w:left="1144"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3">
    <w:abstractNumId w:val="9"/>
  </w:num>
  <w:num w:numId="14">
    <w:abstractNumId w:val="10"/>
  </w:num>
  <w:num w:numId="15">
    <w:abstractNumId w:val="14"/>
  </w:num>
  <w:num w:numId="16">
    <w:abstractNumId w:val="13"/>
  </w:num>
  <w:num w:numId="1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33EAC"/>
    <w:rsid w:val="00047FCD"/>
    <w:rsid w:val="00122EA9"/>
    <w:rsid w:val="00292802"/>
    <w:rsid w:val="00391A3A"/>
    <w:rsid w:val="003B02C7"/>
    <w:rsid w:val="003F34C8"/>
    <w:rsid w:val="00461C0C"/>
    <w:rsid w:val="004A7578"/>
    <w:rsid w:val="004B166B"/>
    <w:rsid w:val="005066F1"/>
    <w:rsid w:val="00645F84"/>
    <w:rsid w:val="0066547F"/>
    <w:rsid w:val="006A7785"/>
    <w:rsid w:val="0076266A"/>
    <w:rsid w:val="008374C7"/>
    <w:rsid w:val="00861294"/>
    <w:rsid w:val="00866174"/>
    <w:rsid w:val="008A4A35"/>
    <w:rsid w:val="00993818"/>
    <w:rsid w:val="00B32DF7"/>
    <w:rsid w:val="00B3421F"/>
    <w:rsid w:val="00B379FD"/>
    <w:rsid w:val="00BD2255"/>
    <w:rsid w:val="00C33EAC"/>
    <w:rsid w:val="00C81F0E"/>
    <w:rsid w:val="00CB18D5"/>
    <w:rsid w:val="00D30B1F"/>
    <w:rsid w:val="00EE4BC9"/>
    <w:rsid w:val="00FE0279"/>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EAC"/>
    <w:pPr>
      <w:spacing w:after="0" w:line="240" w:lineRule="auto"/>
    </w:pPr>
    <w:rPr>
      <w:rFonts w:ascii="Calibri" w:hAnsi="Calibri" w:cs="Calibri"/>
      <w:lang w:eastAsia="es-MX"/>
    </w:rPr>
  </w:style>
  <w:style w:type="paragraph" w:styleId="Ttulo1">
    <w:name w:val="heading 1"/>
    <w:basedOn w:val="Normal"/>
    <w:next w:val="Normal"/>
    <w:link w:val="Ttulo1Car"/>
    <w:uiPriority w:val="9"/>
    <w:qFormat/>
    <w:rsid w:val="00B32D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32DF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qFormat/>
    <w:rsid w:val="008374C7"/>
    <w:pPr>
      <w:keepNext/>
      <w:numPr>
        <w:ilvl w:val="2"/>
        <w:numId w:val="1"/>
      </w:numPr>
      <w:tabs>
        <w:tab w:val="right" w:pos="5616"/>
        <w:tab w:val="right" w:pos="6480"/>
        <w:tab w:val="right" w:pos="7488"/>
        <w:tab w:val="right" w:pos="8352"/>
      </w:tabs>
      <w:suppressAutoHyphens/>
      <w:ind w:left="0" w:right="2"/>
      <w:jc w:val="both"/>
      <w:outlineLvl w:val="2"/>
    </w:pPr>
    <w:rPr>
      <w:rFonts w:ascii="Arial" w:eastAsia="Times New Roman" w:hAnsi="Arial" w:cs="CG Times"/>
      <w:b/>
      <w:sz w:val="14"/>
      <w:szCs w:val="20"/>
      <w:lang w:val="es-ES_tradnl" w:eastAsia="ar-SA"/>
    </w:rPr>
  </w:style>
  <w:style w:type="paragraph" w:styleId="Ttulo4">
    <w:name w:val="heading 4"/>
    <w:basedOn w:val="Ttulo3"/>
    <w:next w:val="Normal"/>
    <w:link w:val="Ttulo4Car"/>
    <w:uiPriority w:val="9"/>
    <w:unhideWhenUsed/>
    <w:qFormat/>
    <w:rsid w:val="00B32DF7"/>
    <w:pPr>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left="864" w:right="0" w:hanging="864"/>
      <w:contextualSpacing/>
      <w:jc w:val="left"/>
      <w:outlineLvl w:val="3"/>
    </w:pPr>
    <w:rPr>
      <w:rFonts w:asciiTheme="majorHAnsi" w:eastAsiaTheme="minorHAnsi" w:hAnsiTheme="majorHAnsi" w:cstheme="minorBidi"/>
      <w:b w:val="0"/>
      <w:sz w:val="20"/>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 w:type="character" w:customStyle="1" w:styleId="Ttulo1Car">
    <w:name w:val="Título 1 Car"/>
    <w:basedOn w:val="Fuentedeprrafopredeter"/>
    <w:link w:val="Ttulo1"/>
    <w:uiPriority w:val="9"/>
    <w:rsid w:val="00B32DF7"/>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semiHidden/>
    <w:rsid w:val="00B32DF7"/>
    <w:rPr>
      <w:rFonts w:asciiTheme="majorHAnsi" w:eastAsiaTheme="majorEastAsia" w:hAnsiTheme="majorHAnsi" w:cstheme="majorBidi"/>
      <w:b/>
      <w:bCs/>
      <w:color w:val="4F81BD" w:themeColor="accent1"/>
      <w:sz w:val="26"/>
      <w:szCs w:val="26"/>
      <w:lang w:eastAsia="es-MX"/>
    </w:rPr>
  </w:style>
  <w:style w:type="character" w:customStyle="1" w:styleId="Ttulo4Car">
    <w:name w:val="Título 4 Car"/>
    <w:basedOn w:val="Fuentedeprrafopredeter"/>
    <w:link w:val="Ttulo4"/>
    <w:uiPriority w:val="9"/>
    <w:rsid w:val="00B32DF7"/>
    <w:rPr>
      <w:rFonts w:asciiTheme="majorHAnsi" w:hAnsiTheme="majorHAnsi"/>
      <w:sz w:val="20"/>
      <w:lang w:val="es-ES"/>
    </w:rPr>
  </w:style>
  <w:style w:type="numbering" w:customStyle="1" w:styleId="Estilo3">
    <w:name w:val="Estilo3"/>
    <w:uiPriority w:val="99"/>
    <w:rsid w:val="00B32DF7"/>
    <w:pPr>
      <w:numPr>
        <w:numId w:val="10"/>
      </w:numPr>
    </w:pPr>
  </w:style>
  <w:style w:type="paragraph" w:customStyle="1" w:styleId="TITULO-1">
    <w:name w:val="TITULO-1"/>
    <w:basedOn w:val="Ttulo1"/>
    <w:next w:val="Normal"/>
    <w:qFormat/>
    <w:rsid w:val="00B32DF7"/>
    <w:pPr>
      <w:keepLines w:val="0"/>
      <w:pageBreakBefore/>
      <w:numPr>
        <w:numId w:val="14"/>
      </w:numPr>
      <w:spacing w:before="0" w:after="240" w:line="360" w:lineRule="auto"/>
      <w:jc w:val="both"/>
    </w:pPr>
    <w:rPr>
      <w:rFonts w:ascii="Arial" w:eastAsia="Times New Roman" w:hAnsi="Arial" w:cs="Times New Roman"/>
      <w:i/>
      <w:iCs/>
      <w:caps/>
      <w:color w:val="auto"/>
      <w:sz w:val="24"/>
      <w:szCs w:val="20"/>
      <w:u w:val="double"/>
      <w:lang w:val="es-ES" w:eastAsia="en-US"/>
    </w:rPr>
  </w:style>
  <w:style w:type="paragraph" w:customStyle="1" w:styleId="TITULO-2">
    <w:name w:val="TITULO-2"/>
    <w:basedOn w:val="TITULO-1"/>
    <w:next w:val="Normal"/>
    <w:rsid w:val="00B32DF7"/>
    <w:pPr>
      <w:pageBreakBefore w:val="0"/>
      <w:numPr>
        <w:ilvl w:val="1"/>
      </w:numPr>
      <w:spacing w:before="360"/>
      <w:outlineLvl w:val="1"/>
    </w:pPr>
  </w:style>
  <w:style w:type="paragraph" w:customStyle="1" w:styleId="TITULO-3">
    <w:name w:val="TITULO-3"/>
    <w:basedOn w:val="Ttulo3"/>
    <w:next w:val="Normal"/>
    <w:rsid w:val="00B32DF7"/>
    <w:pPr>
      <w:numPr>
        <w:numId w:val="14"/>
      </w:numPr>
      <w:tabs>
        <w:tab w:val="clear" w:pos="5616"/>
        <w:tab w:val="clear" w:pos="6480"/>
        <w:tab w:val="clear" w:pos="7488"/>
        <w:tab w:val="clear" w:pos="8352"/>
      </w:tabs>
      <w:spacing w:after="120" w:line="360" w:lineRule="auto"/>
      <w:ind w:right="0"/>
    </w:pPr>
    <w:rPr>
      <w:rFonts w:ascii="Times New Roman" w:hAnsi="Times New Roman" w:cs="Times New Roman"/>
      <w:b w:val="0"/>
      <w:i/>
      <w:spacing w:val="-3"/>
      <w:sz w:val="24"/>
      <w:lang w:val="es-ES" w:eastAsia="es-ES"/>
    </w:rPr>
  </w:style>
  <w:style w:type="paragraph" w:customStyle="1" w:styleId="TITULO-4">
    <w:name w:val="TITULO-4"/>
    <w:basedOn w:val="TITULO-3"/>
    <w:next w:val="Normal"/>
    <w:rsid w:val="00B32DF7"/>
    <w:pPr>
      <w:numPr>
        <w:ilvl w:val="3"/>
      </w:numPr>
      <w:tabs>
        <w:tab w:val="clear" w:pos="2160"/>
      </w:tabs>
      <w:ind w:left="864" w:hanging="864"/>
    </w:pPr>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EAC"/>
    <w:pPr>
      <w:spacing w:after="0" w:line="240" w:lineRule="auto"/>
    </w:pPr>
    <w:rPr>
      <w:rFonts w:ascii="Calibri" w:hAnsi="Calibri" w:cs="Calibri"/>
      <w:lang w:eastAsia="es-MX"/>
    </w:rPr>
  </w:style>
  <w:style w:type="paragraph" w:styleId="Ttulo1">
    <w:name w:val="heading 1"/>
    <w:basedOn w:val="Normal"/>
    <w:next w:val="Normal"/>
    <w:link w:val="Ttulo1Car"/>
    <w:uiPriority w:val="9"/>
    <w:qFormat/>
    <w:rsid w:val="00B32DF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B32DF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qFormat/>
    <w:rsid w:val="008374C7"/>
    <w:pPr>
      <w:keepNext/>
      <w:numPr>
        <w:ilvl w:val="2"/>
        <w:numId w:val="1"/>
      </w:numPr>
      <w:tabs>
        <w:tab w:val="right" w:pos="5616"/>
        <w:tab w:val="right" w:pos="6480"/>
        <w:tab w:val="right" w:pos="7488"/>
        <w:tab w:val="right" w:pos="8352"/>
      </w:tabs>
      <w:suppressAutoHyphens/>
      <w:ind w:left="0" w:right="2"/>
      <w:jc w:val="both"/>
      <w:outlineLvl w:val="2"/>
    </w:pPr>
    <w:rPr>
      <w:rFonts w:ascii="Arial" w:eastAsia="Times New Roman" w:hAnsi="Arial" w:cs="CG Times"/>
      <w:b/>
      <w:sz w:val="14"/>
      <w:szCs w:val="20"/>
      <w:lang w:val="es-ES_tradnl" w:eastAsia="ar-SA"/>
    </w:rPr>
  </w:style>
  <w:style w:type="paragraph" w:styleId="Ttulo4">
    <w:name w:val="heading 4"/>
    <w:basedOn w:val="Ttulo3"/>
    <w:next w:val="Normal"/>
    <w:link w:val="Ttulo4Car"/>
    <w:uiPriority w:val="9"/>
    <w:unhideWhenUsed/>
    <w:qFormat/>
    <w:rsid w:val="00B32DF7"/>
    <w:pPr>
      <w:keepNext w:val="0"/>
      <w:numPr>
        <w:ilvl w:val="0"/>
        <w:numId w:val="0"/>
      </w:numPr>
      <w:tabs>
        <w:tab w:val="clear" w:pos="5616"/>
        <w:tab w:val="clear" w:pos="6480"/>
        <w:tab w:val="clear" w:pos="7488"/>
        <w:tab w:val="clear" w:pos="8352"/>
        <w:tab w:val="center" w:pos="4252"/>
        <w:tab w:val="right" w:pos="8504"/>
      </w:tabs>
      <w:suppressAutoHyphens w:val="0"/>
      <w:spacing w:before="120" w:after="120" w:line="276" w:lineRule="auto"/>
      <w:ind w:left="864" w:right="0" w:hanging="864"/>
      <w:contextualSpacing/>
      <w:jc w:val="left"/>
      <w:outlineLvl w:val="3"/>
    </w:pPr>
    <w:rPr>
      <w:rFonts w:asciiTheme="majorHAnsi" w:eastAsiaTheme="minorHAnsi" w:hAnsiTheme="majorHAnsi" w:cstheme="minorBidi"/>
      <w:b w:val="0"/>
      <w:sz w:val="20"/>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 w:type="character" w:customStyle="1" w:styleId="Ttulo1Car">
    <w:name w:val="Título 1 Car"/>
    <w:basedOn w:val="Fuentedeprrafopredeter"/>
    <w:link w:val="Ttulo1"/>
    <w:uiPriority w:val="9"/>
    <w:rsid w:val="00B32DF7"/>
    <w:rPr>
      <w:rFonts w:asciiTheme="majorHAnsi" w:eastAsiaTheme="majorEastAsia" w:hAnsiTheme="majorHAnsi" w:cstheme="majorBidi"/>
      <w:b/>
      <w:bCs/>
      <w:color w:val="365F91" w:themeColor="accent1" w:themeShade="BF"/>
      <w:sz w:val="28"/>
      <w:szCs w:val="28"/>
      <w:lang w:eastAsia="es-MX"/>
    </w:rPr>
  </w:style>
  <w:style w:type="character" w:customStyle="1" w:styleId="Ttulo2Car">
    <w:name w:val="Título 2 Car"/>
    <w:basedOn w:val="Fuentedeprrafopredeter"/>
    <w:link w:val="Ttulo2"/>
    <w:uiPriority w:val="9"/>
    <w:semiHidden/>
    <w:rsid w:val="00B32DF7"/>
    <w:rPr>
      <w:rFonts w:asciiTheme="majorHAnsi" w:eastAsiaTheme="majorEastAsia" w:hAnsiTheme="majorHAnsi" w:cstheme="majorBidi"/>
      <w:b/>
      <w:bCs/>
      <w:color w:val="4F81BD" w:themeColor="accent1"/>
      <w:sz w:val="26"/>
      <w:szCs w:val="26"/>
      <w:lang w:eastAsia="es-MX"/>
    </w:rPr>
  </w:style>
  <w:style w:type="character" w:customStyle="1" w:styleId="Ttulo4Car">
    <w:name w:val="Título 4 Car"/>
    <w:basedOn w:val="Fuentedeprrafopredeter"/>
    <w:link w:val="Ttulo4"/>
    <w:uiPriority w:val="9"/>
    <w:rsid w:val="00B32DF7"/>
    <w:rPr>
      <w:rFonts w:asciiTheme="majorHAnsi" w:hAnsiTheme="majorHAnsi"/>
      <w:sz w:val="20"/>
      <w:lang w:val="es-ES"/>
    </w:rPr>
  </w:style>
  <w:style w:type="numbering" w:customStyle="1" w:styleId="Estilo3">
    <w:name w:val="Estilo3"/>
    <w:uiPriority w:val="99"/>
    <w:rsid w:val="00B32DF7"/>
    <w:pPr>
      <w:numPr>
        <w:numId w:val="10"/>
      </w:numPr>
    </w:pPr>
  </w:style>
  <w:style w:type="paragraph" w:customStyle="1" w:styleId="TITULO-1">
    <w:name w:val="TITULO-1"/>
    <w:basedOn w:val="Ttulo1"/>
    <w:next w:val="Normal"/>
    <w:qFormat/>
    <w:rsid w:val="00B32DF7"/>
    <w:pPr>
      <w:keepLines w:val="0"/>
      <w:pageBreakBefore/>
      <w:numPr>
        <w:numId w:val="14"/>
      </w:numPr>
      <w:spacing w:before="0" w:after="240" w:line="360" w:lineRule="auto"/>
      <w:jc w:val="both"/>
    </w:pPr>
    <w:rPr>
      <w:rFonts w:ascii="Arial" w:eastAsia="Times New Roman" w:hAnsi="Arial" w:cs="Times New Roman"/>
      <w:i/>
      <w:iCs/>
      <w:caps/>
      <w:color w:val="auto"/>
      <w:sz w:val="24"/>
      <w:szCs w:val="20"/>
      <w:u w:val="double"/>
      <w:lang w:val="es-ES" w:eastAsia="en-US"/>
    </w:rPr>
  </w:style>
  <w:style w:type="paragraph" w:customStyle="1" w:styleId="TITULO-2">
    <w:name w:val="TITULO-2"/>
    <w:basedOn w:val="TITULO-1"/>
    <w:next w:val="Normal"/>
    <w:rsid w:val="00B32DF7"/>
    <w:pPr>
      <w:pageBreakBefore w:val="0"/>
      <w:numPr>
        <w:ilvl w:val="1"/>
      </w:numPr>
      <w:spacing w:before="360"/>
      <w:outlineLvl w:val="1"/>
    </w:pPr>
  </w:style>
  <w:style w:type="paragraph" w:customStyle="1" w:styleId="TITULO-3">
    <w:name w:val="TITULO-3"/>
    <w:basedOn w:val="Ttulo3"/>
    <w:next w:val="Normal"/>
    <w:rsid w:val="00B32DF7"/>
    <w:pPr>
      <w:numPr>
        <w:numId w:val="14"/>
      </w:numPr>
      <w:tabs>
        <w:tab w:val="clear" w:pos="5616"/>
        <w:tab w:val="clear" w:pos="6480"/>
        <w:tab w:val="clear" w:pos="7488"/>
        <w:tab w:val="clear" w:pos="8352"/>
      </w:tabs>
      <w:spacing w:after="120" w:line="360" w:lineRule="auto"/>
      <w:ind w:right="0"/>
    </w:pPr>
    <w:rPr>
      <w:rFonts w:ascii="Times New Roman" w:hAnsi="Times New Roman" w:cs="Times New Roman"/>
      <w:b w:val="0"/>
      <w:i/>
      <w:spacing w:val="-3"/>
      <w:sz w:val="24"/>
      <w:lang w:val="es-ES" w:eastAsia="es-ES"/>
    </w:rPr>
  </w:style>
  <w:style w:type="paragraph" w:customStyle="1" w:styleId="TITULO-4">
    <w:name w:val="TITULO-4"/>
    <w:basedOn w:val="TITULO-3"/>
    <w:next w:val="Normal"/>
    <w:rsid w:val="00B32DF7"/>
    <w:pPr>
      <w:numPr>
        <w:ilvl w:val="3"/>
      </w:numPr>
      <w:tabs>
        <w:tab w:val="clear" w:pos="2160"/>
      </w:tabs>
      <w:ind w:left="864" w:hanging="864"/>
    </w:pPr>
    <w:rPr>
      <w:rFonts w:ascii="Arial" w:hAnsi="Arial" w:cs="Arial"/>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microsoft.com/office/2007/relationships/stylesWithEffects" Target="stylesWithEffects.xm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TotalTime>
  <Pages>9</Pages>
  <Words>1760</Words>
  <Characters>9681</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11419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J1007</dc:creator>
  <cp:keywords/>
  <dc:description/>
  <cp:lastModifiedBy>j0896</cp:lastModifiedBy>
  <cp:revision>19</cp:revision>
  <dcterms:created xsi:type="dcterms:W3CDTF">2014-04-14T17:24:00Z</dcterms:created>
  <dcterms:modified xsi:type="dcterms:W3CDTF">2014-05-21T03:16:00Z</dcterms:modified>
</cp:coreProperties>
</file>